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D1CF" w14:textId="77777777" w:rsidR="00486439" w:rsidRPr="00D35F78" w:rsidRDefault="00486439" w:rsidP="00390AC9">
      <w:pPr>
        <w:spacing w:after="0" w:line="240" w:lineRule="auto"/>
        <w:contextualSpacing/>
        <w:jc w:val="both"/>
        <w:rPr>
          <w:color w:val="auto"/>
          <w:sz w:val="24"/>
          <w:szCs w:val="24"/>
        </w:rPr>
      </w:pPr>
    </w:p>
    <w:p w14:paraId="1E7CE6F1" w14:textId="77777777" w:rsidR="00486439" w:rsidRPr="00D35F78" w:rsidRDefault="00486439" w:rsidP="00390AC9">
      <w:pPr>
        <w:spacing w:after="0" w:line="240" w:lineRule="auto"/>
        <w:contextualSpacing/>
        <w:jc w:val="both"/>
        <w:rPr>
          <w:color w:val="auto"/>
          <w:sz w:val="24"/>
          <w:szCs w:val="24"/>
        </w:rPr>
      </w:pPr>
    </w:p>
    <w:p w14:paraId="1A10C70E" w14:textId="77777777" w:rsidR="004E4FA9" w:rsidRPr="00D35F78" w:rsidRDefault="004E4FA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75299DC0" w14:textId="2D303BCE" w:rsidR="004E4FA9" w:rsidRPr="00D35F78" w:rsidRDefault="00300144" w:rsidP="0002152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b/>
          <w:bCs/>
          <w:color w:val="auto"/>
          <w:sz w:val="24"/>
          <w:szCs w:val="24"/>
          <w:bdr w:val="none" w:sz="0" w:space="0" w:color="auto"/>
          <w:lang w:eastAsia="en-GB"/>
        </w:rPr>
      </w:pPr>
      <w:r w:rsidRPr="00D35F78">
        <w:rPr>
          <w:rFonts w:eastAsia="Times New Roman"/>
          <w:b/>
          <w:bCs/>
          <w:color w:val="auto"/>
          <w:sz w:val="24"/>
          <w:szCs w:val="24"/>
          <w:bdr w:val="none" w:sz="0" w:space="0" w:color="auto"/>
          <w:lang w:eastAsia="en-GB"/>
        </w:rPr>
        <w:t>Ravimitootjate Liidu arvamus ravimiseaduse muutmise seadus</w:t>
      </w:r>
      <w:r w:rsidR="006852DD" w:rsidRPr="00D35F78">
        <w:rPr>
          <w:rFonts w:eastAsia="Times New Roman"/>
          <w:b/>
          <w:bCs/>
          <w:color w:val="auto"/>
          <w:sz w:val="24"/>
          <w:szCs w:val="24"/>
          <w:bdr w:val="none" w:sz="0" w:space="0" w:color="auto"/>
          <w:lang w:eastAsia="en-GB"/>
        </w:rPr>
        <w:t>e</w:t>
      </w:r>
      <w:r w:rsidRPr="00D35F78">
        <w:rPr>
          <w:rFonts w:eastAsia="Times New Roman"/>
          <w:b/>
          <w:bCs/>
          <w:color w:val="auto"/>
          <w:sz w:val="24"/>
          <w:szCs w:val="24"/>
          <w:bdr w:val="none" w:sz="0" w:space="0" w:color="auto"/>
          <w:lang w:eastAsia="en-GB"/>
        </w:rPr>
        <w:t xml:space="preserve"> (haiglaerand) osas</w:t>
      </w:r>
    </w:p>
    <w:p w14:paraId="45601D30" w14:textId="77777777" w:rsidR="00021520" w:rsidRPr="00D35F78" w:rsidRDefault="00021520"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16EC0D37" w14:textId="77777777" w:rsidR="00D13037" w:rsidRPr="00D35F78" w:rsidRDefault="00D13037"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38B45EE1" w14:textId="075A852E" w:rsidR="00486439" w:rsidRPr="00D35F78" w:rsidRDefault="004E4FA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 xml:space="preserve">Ravimitootjate Liidu (RTL) hinnangul on oluline </w:t>
      </w:r>
      <w:r w:rsidR="00486439" w:rsidRPr="00D35F78">
        <w:rPr>
          <w:rFonts w:eastAsia="Times New Roman"/>
          <w:color w:val="auto"/>
          <w:sz w:val="24"/>
          <w:szCs w:val="24"/>
          <w:bdr w:val="none" w:sz="0" w:space="0" w:color="auto"/>
          <w:lang w:eastAsia="en-GB"/>
        </w:rPr>
        <w:t>kaasa aidata Eestis ravimite valdkonna innovatsiooni arendamisele, eriti kui see muudab kättesaadavamaks ravimid raskelt haigetele patsientidele, kellel selleks muul moel riiklikult rahastatud võimalused puuduvad. </w:t>
      </w:r>
      <w:r w:rsidR="007C06B2" w:rsidRPr="00D35F78">
        <w:rPr>
          <w:rFonts w:eastAsia="Times New Roman"/>
          <w:color w:val="auto"/>
          <w:sz w:val="24"/>
          <w:szCs w:val="24"/>
          <w:bdr w:val="none" w:sz="0" w:space="0" w:color="auto"/>
          <w:lang w:eastAsia="en-GB"/>
        </w:rPr>
        <w:t>Ravimitootjate jaoks on oluline, et h</w:t>
      </w:r>
      <w:r w:rsidR="00486439" w:rsidRPr="00D35F78">
        <w:rPr>
          <w:rFonts w:eastAsia="Times New Roman"/>
          <w:color w:val="auto"/>
          <w:sz w:val="24"/>
          <w:szCs w:val="24"/>
          <w:bdr w:val="none" w:sz="0" w:space="0" w:color="auto"/>
          <w:lang w:eastAsia="en-GB"/>
        </w:rPr>
        <w:t>aiglaerandi</w:t>
      </w:r>
      <w:r w:rsidR="00486439" w:rsidRPr="00D35F78">
        <w:rPr>
          <w:rFonts w:eastAsia="Times New Roman"/>
          <w:b/>
          <w:bCs/>
          <w:color w:val="auto"/>
          <w:sz w:val="24"/>
          <w:szCs w:val="24"/>
          <w:bdr w:val="none" w:sz="0" w:space="0" w:color="auto"/>
          <w:lang w:eastAsia="en-GB"/>
        </w:rPr>
        <w:t> </w:t>
      </w:r>
      <w:r w:rsidR="00486439" w:rsidRPr="00D35F78">
        <w:rPr>
          <w:rFonts w:eastAsia="Times New Roman"/>
          <w:color w:val="auto"/>
          <w:sz w:val="24"/>
          <w:szCs w:val="24"/>
          <w:bdr w:val="none" w:sz="0" w:space="0" w:color="auto"/>
          <w:lang w:eastAsia="en-GB"/>
        </w:rPr>
        <w:t xml:space="preserve">korras valmistatavad ja kasutatavad ravimid toodetakse vastavalt EL õigusaktides ettenähtud kvaliteeditingimustele ning nende üle teostab </w:t>
      </w:r>
      <w:r w:rsidR="00D35F78">
        <w:rPr>
          <w:rFonts w:eastAsia="Times New Roman"/>
          <w:color w:val="auto"/>
          <w:sz w:val="24"/>
          <w:szCs w:val="24"/>
          <w:bdr w:val="none" w:sz="0" w:space="0" w:color="auto"/>
          <w:lang w:eastAsia="en-GB"/>
        </w:rPr>
        <w:t>regulaarset</w:t>
      </w:r>
      <w:r w:rsidR="00D35F78" w:rsidRPr="00D35F78">
        <w:rPr>
          <w:rFonts w:eastAsia="Times New Roman"/>
          <w:color w:val="auto"/>
          <w:sz w:val="24"/>
          <w:szCs w:val="24"/>
          <w:bdr w:val="none" w:sz="0" w:space="0" w:color="auto"/>
          <w:lang w:eastAsia="en-GB"/>
        </w:rPr>
        <w:t xml:space="preserve"> </w:t>
      </w:r>
      <w:r w:rsidR="00486439" w:rsidRPr="00D35F78">
        <w:rPr>
          <w:rFonts w:eastAsia="Times New Roman"/>
          <w:color w:val="auto"/>
          <w:sz w:val="24"/>
          <w:szCs w:val="24"/>
          <w:bdr w:val="none" w:sz="0" w:space="0" w:color="auto"/>
          <w:lang w:eastAsia="en-GB"/>
        </w:rPr>
        <w:t>järelevalvet pädev asutus</w:t>
      </w:r>
      <w:r w:rsidRPr="00D35F78">
        <w:rPr>
          <w:rFonts w:eastAsia="Times New Roman"/>
          <w:color w:val="auto"/>
          <w:sz w:val="24"/>
          <w:szCs w:val="24"/>
          <w:bdr w:val="none" w:sz="0" w:space="0" w:color="auto"/>
          <w:lang w:eastAsia="en-GB"/>
        </w:rPr>
        <w:t xml:space="preserve">, </w:t>
      </w:r>
      <w:r w:rsidR="00486439" w:rsidRPr="00D35F78">
        <w:rPr>
          <w:rFonts w:eastAsia="Times New Roman"/>
          <w:color w:val="auto"/>
          <w:sz w:val="24"/>
          <w:szCs w:val="24"/>
          <w:bdr w:val="none" w:sz="0" w:space="0" w:color="auto"/>
          <w:lang w:eastAsia="en-GB"/>
        </w:rPr>
        <w:t>Ravimiamet. </w:t>
      </w:r>
    </w:p>
    <w:p w14:paraId="7AA8A178" w14:textId="77777777"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0E23874E" w14:textId="5202DA65" w:rsidR="00390AC9" w:rsidRPr="00D35F78" w:rsidRDefault="007C06B2"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b/>
          <w:bCs/>
          <w:color w:val="auto"/>
          <w:sz w:val="24"/>
          <w:szCs w:val="24"/>
          <w:bdr w:val="none" w:sz="0" w:space="0" w:color="auto"/>
          <w:lang w:eastAsia="en-GB"/>
        </w:rPr>
      </w:pPr>
      <w:r w:rsidRPr="00D35F78">
        <w:rPr>
          <w:rFonts w:eastAsia="Times New Roman"/>
          <w:color w:val="auto"/>
          <w:sz w:val="24"/>
          <w:szCs w:val="24"/>
          <w:bdr w:val="none" w:sz="0" w:space="0" w:color="auto"/>
          <w:lang w:eastAsia="en-GB"/>
        </w:rPr>
        <w:t>Meie hinnangul on planeeritavates</w:t>
      </w:r>
      <w:r w:rsidR="00486439" w:rsidRPr="00D35F78">
        <w:rPr>
          <w:rFonts w:eastAsia="Times New Roman"/>
          <w:color w:val="auto"/>
          <w:sz w:val="24"/>
          <w:szCs w:val="24"/>
          <w:bdr w:val="none" w:sz="0" w:space="0" w:color="auto"/>
          <w:lang w:eastAsia="en-GB"/>
        </w:rPr>
        <w:t xml:space="preserve"> muudatuses ja seletuskirjas </w:t>
      </w:r>
      <w:r w:rsidRPr="00D35F78">
        <w:rPr>
          <w:rFonts w:eastAsia="Times New Roman"/>
          <w:color w:val="auto"/>
          <w:sz w:val="24"/>
          <w:szCs w:val="24"/>
          <w:bdr w:val="none" w:sz="0" w:space="0" w:color="auto"/>
          <w:lang w:eastAsia="en-GB"/>
        </w:rPr>
        <w:t>alljärgnevad</w:t>
      </w:r>
      <w:r w:rsidR="00486439" w:rsidRPr="00D35F78">
        <w:rPr>
          <w:rFonts w:eastAsia="Times New Roman"/>
          <w:color w:val="auto"/>
          <w:sz w:val="24"/>
          <w:szCs w:val="24"/>
          <w:bdr w:val="none" w:sz="0" w:space="0" w:color="auto"/>
          <w:lang w:eastAsia="en-GB"/>
        </w:rPr>
        <w:t> </w:t>
      </w:r>
      <w:r w:rsidR="00486439" w:rsidRPr="00D35F78">
        <w:rPr>
          <w:rFonts w:eastAsia="Times New Roman"/>
          <w:b/>
          <w:bCs/>
          <w:color w:val="auto"/>
          <w:sz w:val="24"/>
          <w:szCs w:val="24"/>
          <w:bdr w:val="none" w:sz="0" w:space="0" w:color="auto"/>
          <w:lang w:eastAsia="en-GB"/>
        </w:rPr>
        <w:t>nõr</w:t>
      </w:r>
      <w:r w:rsidRPr="00D35F78">
        <w:rPr>
          <w:rFonts w:eastAsia="Times New Roman"/>
          <w:b/>
          <w:bCs/>
          <w:color w:val="auto"/>
          <w:sz w:val="24"/>
          <w:szCs w:val="24"/>
          <w:bdr w:val="none" w:sz="0" w:space="0" w:color="auto"/>
          <w:lang w:eastAsia="en-GB"/>
        </w:rPr>
        <w:t xml:space="preserve">gad </w:t>
      </w:r>
      <w:r w:rsidR="00486439" w:rsidRPr="00D35F78">
        <w:rPr>
          <w:rFonts w:eastAsia="Times New Roman"/>
          <w:b/>
          <w:bCs/>
          <w:color w:val="auto"/>
          <w:sz w:val="24"/>
          <w:szCs w:val="24"/>
          <w:bdr w:val="none" w:sz="0" w:space="0" w:color="auto"/>
          <w:lang w:eastAsia="en-GB"/>
        </w:rPr>
        <w:t>koh</w:t>
      </w:r>
      <w:r w:rsidR="00390AC9" w:rsidRPr="00D35F78">
        <w:rPr>
          <w:rFonts w:eastAsia="Times New Roman"/>
          <w:b/>
          <w:bCs/>
          <w:color w:val="auto"/>
          <w:sz w:val="24"/>
          <w:szCs w:val="24"/>
          <w:bdr w:val="none" w:sz="0" w:space="0" w:color="auto"/>
          <w:lang w:eastAsia="en-GB"/>
        </w:rPr>
        <w:t>ad</w:t>
      </w:r>
      <w:r w:rsidR="00486439" w:rsidRPr="00D35F78">
        <w:rPr>
          <w:rFonts w:eastAsia="Times New Roman"/>
          <w:b/>
          <w:bCs/>
          <w:color w:val="auto"/>
          <w:sz w:val="24"/>
          <w:szCs w:val="24"/>
          <w:bdr w:val="none" w:sz="0" w:space="0" w:color="auto"/>
          <w:lang w:eastAsia="en-GB"/>
        </w:rPr>
        <w:t>:</w:t>
      </w:r>
    </w:p>
    <w:p w14:paraId="432A6ED3" w14:textId="77777777" w:rsidR="001259D4" w:rsidRPr="00D35F78" w:rsidRDefault="001259D4"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b/>
          <w:bCs/>
          <w:color w:val="auto"/>
          <w:sz w:val="24"/>
          <w:szCs w:val="24"/>
          <w:bdr w:val="none" w:sz="0" w:space="0" w:color="auto"/>
          <w:lang w:eastAsia="en-GB"/>
        </w:rPr>
      </w:pPr>
    </w:p>
    <w:p w14:paraId="7C1CEE67" w14:textId="36B3F15B" w:rsidR="00486439" w:rsidRPr="00A91B36" w:rsidRDefault="00486439" w:rsidP="00390AC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val="0"/>
        <w:spacing w:after="0" w:line="240" w:lineRule="auto"/>
        <w:ind w:left="360"/>
        <w:contextualSpacing/>
        <w:jc w:val="both"/>
        <w:rPr>
          <w:rFonts w:eastAsia="Times New Roman"/>
          <w:color w:val="auto"/>
          <w:sz w:val="24"/>
          <w:szCs w:val="24"/>
          <w:bdr w:val="none" w:sz="0" w:space="0" w:color="auto"/>
          <w:lang w:eastAsia="en-GB"/>
        </w:rPr>
      </w:pPr>
      <w:r w:rsidRPr="00A91B36">
        <w:rPr>
          <w:rFonts w:eastAsia="Times New Roman"/>
          <w:b/>
          <w:bCs/>
          <w:color w:val="auto"/>
          <w:sz w:val="24"/>
          <w:szCs w:val="24"/>
          <w:bdr w:val="none" w:sz="0" w:space="0" w:color="auto"/>
          <w:lang w:eastAsia="en-GB"/>
        </w:rPr>
        <w:t>Muudatus suurendab Ravimiameti järelevalvest tulenevaid ülesandeid</w:t>
      </w:r>
      <w:r w:rsidRPr="00D35F78">
        <w:rPr>
          <w:rFonts w:eastAsia="Times New Roman"/>
          <w:color w:val="auto"/>
          <w:sz w:val="24"/>
          <w:szCs w:val="24"/>
          <w:bdr w:val="none" w:sz="0" w:space="0" w:color="auto"/>
          <w:lang w:eastAsia="en-GB"/>
        </w:rPr>
        <w:t>, kuna töömahu prognoos on kasvav, kuid samas selleks lisaeelarvet ette ei nähta. Eeldus on, et hindamisi tehakse endiselt "muude hindamistasude arvelt". Kitsaskoht kasvutrendi korral on ebapiisava eelarvega langev pädevuse kvaliteet. </w:t>
      </w:r>
      <w:r w:rsidRPr="00A91B36">
        <w:rPr>
          <w:rFonts w:eastAsia="Times New Roman"/>
          <w:color w:val="auto"/>
          <w:sz w:val="24"/>
          <w:szCs w:val="24"/>
          <w:bdr w:val="none" w:sz="0" w:space="0" w:color="auto"/>
          <w:lang w:eastAsia="en-GB"/>
        </w:rPr>
        <w:t>Nt, kui tootja maksa</w:t>
      </w:r>
      <w:r w:rsidR="00390AC9" w:rsidRPr="00A91B36">
        <w:rPr>
          <w:rFonts w:eastAsia="Times New Roman"/>
          <w:color w:val="auto"/>
          <w:sz w:val="24"/>
          <w:szCs w:val="24"/>
          <w:bdr w:val="none" w:sz="0" w:space="0" w:color="auto"/>
          <w:lang w:eastAsia="en-GB"/>
        </w:rPr>
        <w:t>b</w:t>
      </w:r>
      <w:r w:rsidRPr="00A91B36">
        <w:rPr>
          <w:rFonts w:eastAsia="Times New Roman"/>
          <w:color w:val="auto"/>
          <w:sz w:val="24"/>
          <w:szCs w:val="24"/>
          <w:bdr w:val="none" w:sz="0" w:space="0" w:color="auto"/>
          <w:lang w:eastAsia="en-GB"/>
        </w:rPr>
        <w:t xml:space="preserve"> hindamistasu kliinilise uuringu või müügiloa hindamise eest, siis eelda</w:t>
      </w:r>
      <w:r w:rsidR="00390AC9" w:rsidRPr="00A91B36">
        <w:rPr>
          <w:rFonts w:eastAsia="Times New Roman"/>
          <w:color w:val="auto"/>
          <w:sz w:val="24"/>
          <w:szCs w:val="24"/>
          <w:bdr w:val="none" w:sz="0" w:space="0" w:color="auto"/>
          <w:lang w:eastAsia="en-GB"/>
        </w:rPr>
        <w:t>me</w:t>
      </w:r>
      <w:r w:rsidRPr="00A91B36">
        <w:rPr>
          <w:rFonts w:eastAsia="Times New Roman"/>
          <w:color w:val="auto"/>
          <w:sz w:val="24"/>
          <w:szCs w:val="24"/>
          <w:bdr w:val="none" w:sz="0" w:space="0" w:color="auto"/>
          <w:lang w:eastAsia="en-GB"/>
        </w:rPr>
        <w:t>, et selle tasu eest tehakse ka seda konkreetset tööd. Kui aga seadusandja eeldab, et neist muudest tasudest jätkub ka lisaülesannete jaoks, siis tekib tootjana õigustatud k</w:t>
      </w:r>
      <w:r w:rsidR="00390AC9" w:rsidRPr="00A91B36">
        <w:rPr>
          <w:rFonts w:eastAsia="Times New Roman"/>
          <w:color w:val="auto"/>
          <w:sz w:val="24"/>
          <w:szCs w:val="24"/>
          <w:bdr w:val="none" w:sz="0" w:space="0" w:color="auto"/>
          <w:lang w:eastAsia="en-GB"/>
        </w:rPr>
        <w:t>üsimus</w:t>
      </w:r>
      <w:r w:rsidRPr="00A91B36">
        <w:rPr>
          <w:rFonts w:eastAsia="Times New Roman"/>
          <w:color w:val="auto"/>
          <w:sz w:val="24"/>
          <w:szCs w:val="24"/>
          <w:bdr w:val="none" w:sz="0" w:space="0" w:color="auto"/>
          <w:lang w:eastAsia="en-GB"/>
        </w:rPr>
        <w:t>, et nt "muud tasud" ei ole täna kohased ja on liiga kõrged</w:t>
      </w:r>
      <w:r w:rsidR="00390AC9" w:rsidRPr="00A91B36">
        <w:rPr>
          <w:rFonts w:eastAsia="Times New Roman"/>
          <w:color w:val="auto"/>
          <w:sz w:val="24"/>
          <w:szCs w:val="24"/>
          <w:bdr w:val="none" w:sz="0" w:space="0" w:color="auto"/>
          <w:lang w:eastAsia="en-GB"/>
        </w:rPr>
        <w:t>.</w:t>
      </w:r>
    </w:p>
    <w:p w14:paraId="39C5E2E3" w14:textId="77777777" w:rsidR="00390AC9" w:rsidRPr="00D35F78" w:rsidRDefault="00390AC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360"/>
        <w:contextualSpacing/>
        <w:jc w:val="both"/>
        <w:rPr>
          <w:rFonts w:eastAsia="Times New Roman"/>
          <w:color w:val="auto"/>
          <w:sz w:val="24"/>
          <w:szCs w:val="24"/>
          <w:bdr w:val="none" w:sz="0" w:space="0" w:color="auto"/>
          <w:lang w:eastAsia="en-GB"/>
        </w:rPr>
      </w:pPr>
    </w:p>
    <w:p w14:paraId="7CF2E58B" w14:textId="696C89D5" w:rsidR="00486439" w:rsidRPr="00D35F78" w:rsidRDefault="00486439" w:rsidP="00390AC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val="0"/>
        <w:spacing w:after="0" w:line="240" w:lineRule="auto"/>
        <w:ind w:left="360"/>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Lisaülesande mahu eeldatust suurem kasv võib kahjustada Ravimiameti teiste ülesannete täitmist</w:t>
      </w:r>
      <w:r w:rsidR="00390AC9" w:rsidRPr="00D35F78">
        <w:rPr>
          <w:rFonts w:eastAsia="Times New Roman"/>
          <w:color w:val="auto"/>
          <w:sz w:val="24"/>
          <w:szCs w:val="24"/>
          <w:bdr w:val="none" w:sz="0" w:space="0" w:color="auto"/>
          <w:lang w:eastAsia="en-GB"/>
        </w:rPr>
        <w:t>, mis</w:t>
      </w:r>
      <w:r w:rsidRPr="00D35F78">
        <w:rPr>
          <w:rFonts w:eastAsia="Times New Roman"/>
          <w:color w:val="auto"/>
          <w:sz w:val="24"/>
          <w:szCs w:val="24"/>
          <w:bdr w:val="none" w:sz="0" w:space="0" w:color="auto"/>
          <w:lang w:eastAsia="en-GB"/>
        </w:rPr>
        <w:t xml:space="preserve"> võib omakorda pikendada teiste ravimite eksperthinnangutele kuluvat aega (nt rahastusprotsessis), kliiniliste uuringute hindamist, ohutusjärelvalvet, inspektsioone jms. </w:t>
      </w:r>
    </w:p>
    <w:p w14:paraId="0D5CF6B7" w14:textId="7B0A29A4" w:rsidR="00486439" w:rsidRPr="00D35F78" w:rsidRDefault="00486439" w:rsidP="00390AC9">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spacing w:after="0" w:line="240" w:lineRule="auto"/>
        <w:ind w:left="851"/>
        <w:contextualSpacing/>
        <w:jc w:val="both"/>
        <w:rPr>
          <w:rFonts w:eastAsia="Times New Roman"/>
          <w:color w:val="auto"/>
          <w:sz w:val="24"/>
          <w:szCs w:val="24"/>
          <w:bdr w:val="none" w:sz="0" w:space="0" w:color="auto"/>
          <w:lang w:eastAsia="en-GB"/>
        </w:rPr>
      </w:pPr>
      <w:r w:rsidRPr="00D35F78">
        <w:rPr>
          <w:rFonts w:eastAsia="Times New Roman"/>
          <w:b/>
          <w:bCs/>
          <w:color w:val="auto"/>
          <w:sz w:val="24"/>
          <w:szCs w:val="24"/>
          <w:bdr w:val="none" w:sz="0" w:space="0" w:color="auto"/>
          <w:lang w:eastAsia="en-GB"/>
        </w:rPr>
        <w:t>ETTEPANEK:</w:t>
      </w:r>
      <w:r w:rsidRPr="00D35F78">
        <w:rPr>
          <w:rFonts w:eastAsia="Times New Roman"/>
          <w:color w:val="auto"/>
          <w:sz w:val="24"/>
          <w:szCs w:val="24"/>
          <w:bdr w:val="none" w:sz="0" w:space="0" w:color="auto"/>
          <w:lang w:eastAsia="en-GB"/>
        </w:rPr>
        <w:t xml:space="preserve"> Seletuskirjale viidates ei peaks ootama haiglaerandi taotluste arvu tõusu, et kaaluda taotluse hindamistasu. Pädevuse ja kvaliteedi tagamiseks võiks kaaluda hindamistasu kehtestamist juba sellesama muudatuse osana, sarnaselt kliinilise uuringu hindamise tasule või ravimi müügiloa taotluse hindamise tasule, kuna hindamine on mahukas ja nõuab siiski teaduspõhist ekspertiisi.  </w:t>
      </w:r>
      <w:r w:rsidR="00922BB0" w:rsidRPr="00D35F78">
        <w:rPr>
          <w:rFonts w:eastAsia="Times New Roman"/>
          <w:color w:val="auto"/>
          <w:sz w:val="24"/>
          <w:szCs w:val="24"/>
          <w:bdr w:val="none" w:sz="0" w:space="0" w:color="auto"/>
          <w:lang w:eastAsia="en-GB"/>
        </w:rPr>
        <w:t>A</w:t>
      </w:r>
      <w:r w:rsidRPr="00D35F78">
        <w:rPr>
          <w:rFonts w:eastAsia="Times New Roman"/>
          <w:color w:val="auto"/>
          <w:sz w:val="24"/>
          <w:szCs w:val="24"/>
          <w:bdr w:val="none" w:sz="0" w:space="0" w:color="auto"/>
          <w:lang w:eastAsia="en-GB"/>
        </w:rPr>
        <w:t>rva</w:t>
      </w:r>
      <w:r w:rsidR="00922BB0" w:rsidRPr="00D35F78">
        <w:rPr>
          <w:rFonts w:eastAsia="Times New Roman"/>
          <w:color w:val="auto"/>
          <w:sz w:val="24"/>
          <w:szCs w:val="24"/>
          <w:bdr w:val="none" w:sz="0" w:space="0" w:color="auto"/>
          <w:lang w:eastAsia="en-GB"/>
        </w:rPr>
        <w:t>me</w:t>
      </w:r>
      <w:r w:rsidRPr="00D35F78">
        <w:rPr>
          <w:rFonts w:eastAsia="Times New Roman"/>
          <w:color w:val="auto"/>
          <w:sz w:val="24"/>
          <w:szCs w:val="24"/>
          <w:bdr w:val="none" w:sz="0" w:space="0" w:color="auto"/>
          <w:lang w:eastAsia="en-GB"/>
        </w:rPr>
        <w:t>, et tootjaid ei peaks erinevalt kohtlema, olene</w:t>
      </w:r>
      <w:r w:rsidR="006A4D2F" w:rsidRPr="00D35F78">
        <w:rPr>
          <w:rFonts w:eastAsia="Times New Roman"/>
          <w:color w:val="auto"/>
          <w:sz w:val="24"/>
          <w:szCs w:val="24"/>
          <w:bdr w:val="none" w:sz="0" w:space="0" w:color="auto"/>
          <w:lang w:eastAsia="en-GB"/>
        </w:rPr>
        <w:t>valt</w:t>
      </w:r>
      <w:r w:rsidRPr="00D35F78">
        <w:rPr>
          <w:rFonts w:eastAsia="Times New Roman"/>
          <w:color w:val="auto"/>
          <w:sz w:val="24"/>
          <w:szCs w:val="24"/>
          <w:bdr w:val="none" w:sz="0" w:space="0" w:color="auto"/>
          <w:lang w:eastAsia="en-GB"/>
        </w:rPr>
        <w:t xml:space="preserve"> sellest, kas ravimit toodetakse erandkorras või müügiloa </w:t>
      </w:r>
      <w:r w:rsidR="006A4D2F" w:rsidRPr="00D35F78">
        <w:rPr>
          <w:rFonts w:eastAsia="Times New Roman"/>
          <w:color w:val="auto"/>
          <w:sz w:val="24"/>
          <w:szCs w:val="24"/>
          <w:bdr w:val="none" w:sz="0" w:space="0" w:color="auto"/>
          <w:lang w:eastAsia="en-GB"/>
        </w:rPr>
        <w:t>alusel</w:t>
      </w:r>
      <w:r w:rsidRPr="00D35F78">
        <w:rPr>
          <w:rFonts w:eastAsia="Times New Roman"/>
          <w:color w:val="auto"/>
          <w:sz w:val="24"/>
          <w:szCs w:val="24"/>
          <w:bdr w:val="none" w:sz="0" w:space="0" w:color="auto"/>
          <w:lang w:eastAsia="en-GB"/>
        </w:rPr>
        <w:t>. Ilmselt saaksid need tasud olla suurusjärgu võrra erinevad, sest andmete hulk, mida R</w:t>
      </w:r>
      <w:r w:rsidR="00922BB0" w:rsidRPr="00D35F78">
        <w:rPr>
          <w:rFonts w:eastAsia="Times New Roman"/>
          <w:color w:val="auto"/>
          <w:sz w:val="24"/>
          <w:szCs w:val="24"/>
          <w:bdr w:val="none" w:sz="0" w:space="0" w:color="auto"/>
          <w:lang w:eastAsia="en-GB"/>
        </w:rPr>
        <w:t>avimiamet</w:t>
      </w:r>
      <w:r w:rsidRPr="00D35F78">
        <w:rPr>
          <w:rFonts w:eastAsia="Times New Roman"/>
          <w:color w:val="auto"/>
          <w:sz w:val="24"/>
          <w:szCs w:val="24"/>
          <w:bdr w:val="none" w:sz="0" w:space="0" w:color="auto"/>
          <w:lang w:eastAsia="en-GB"/>
        </w:rPr>
        <w:t xml:space="preserve"> hindab, on erinev</w:t>
      </w:r>
      <w:r w:rsidRPr="00D35F78">
        <w:rPr>
          <w:rFonts w:eastAsia="Times New Roman"/>
          <w:i/>
          <w:iCs/>
          <w:color w:val="auto"/>
          <w:sz w:val="24"/>
          <w:szCs w:val="24"/>
          <w:bdr w:val="none" w:sz="0" w:space="0" w:color="auto"/>
          <w:lang w:eastAsia="en-GB"/>
        </w:rPr>
        <w:t>. </w:t>
      </w:r>
    </w:p>
    <w:p w14:paraId="026E1876" w14:textId="31AD4F3E" w:rsidR="00390AC9" w:rsidRPr="00D35F78" w:rsidRDefault="00922BB0"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851"/>
        <w:contextualSpacing/>
        <w:jc w:val="both"/>
        <w:rPr>
          <w:rFonts w:eastAsia="Aptos"/>
          <w:color w:val="auto"/>
          <w:kern w:val="2"/>
          <w:sz w:val="24"/>
          <w:szCs w:val="24"/>
          <w:bdr w:val="none" w:sz="0" w:space="0" w:color="auto"/>
          <w:lang w:eastAsia="en-US"/>
          <w14:ligatures w14:val="standardContextual"/>
        </w:rPr>
      </w:pPr>
      <w:r w:rsidRPr="00D35F78">
        <w:rPr>
          <w:rFonts w:eastAsia="Aptos"/>
          <w:color w:val="auto"/>
          <w:kern w:val="2"/>
          <w:sz w:val="24"/>
          <w:szCs w:val="24"/>
          <w:bdr w:val="none" w:sz="0" w:space="0" w:color="auto"/>
          <w:lang w:eastAsia="en-US"/>
          <w14:ligatures w14:val="standardContextual"/>
        </w:rPr>
        <w:t>Meie hinnangul peaks haiglaerandi taotlemisega ning hoidmisega seotud tasud kehtestatama koos kõnealuse seadusemuudatusega, eriti kui nähakse ette taotluste arvu suurenemist, kuna oleks aus (ka konkurentsiseaduse silmis), et see kulu kajastuks juba haiglaerandi ravimi hinnas, mitte ülejäänud müügiloahoidjad ei maksa seda kinni.</w:t>
      </w:r>
    </w:p>
    <w:p w14:paraId="43B562DB" w14:textId="77777777" w:rsidR="00922BB0" w:rsidRPr="00D35F78" w:rsidRDefault="00922BB0"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851"/>
        <w:contextualSpacing/>
        <w:jc w:val="both"/>
        <w:rPr>
          <w:rFonts w:eastAsia="Times New Roman"/>
          <w:color w:val="auto"/>
          <w:sz w:val="24"/>
          <w:szCs w:val="24"/>
          <w:bdr w:val="none" w:sz="0" w:space="0" w:color="auto"/>
          <w:lang w:eastAsia="en-GB"/>
        </w:rPr>
      </w:pPr>
    </w:p>
    <w:p w14:paraId="59C5AA22" w14:textId="58FFF723" w:rsidR="00390AC9" w:rsidRPr="00D35F78" w:rsidRDefault="00486439" w:rsidP="00390AC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val="0"/>
        <w:spacing w:after="0" w:line="240" w:lineRule="auto"/>
        <w:ind w:left="360"/>
        <w:contextualSpacing/>
        <w:jc w:val="both"/>
        <w:rPr>
          <w:rFonts w:eastAsia="Times New Roman"/>
          <w:color w:val="auto"/>
          <w:sz w:val="24"/>
          <w:szCs w:val="24"/>
          <w:bdr w:val="none" w:sz="0" w:space="0" w:color="auto"/>
          <w:lang w:eastAsia="en-GB"/>
        </w:rPr>
      </w:pPr>
      <w:r w:rsidRPr="00A91B36">
        <w:rPr>
          <w:rFonts w:eastAsia="Times New Roman"/>
          <w:b/>
          <w:bCs/>
          <w:color w:val="auto"/>
          <w:sz w:val="24"/>
          <w:szCs w:val="24"/>
          <w:bdr w:val="none" w:sz="0" w:space="0" w:color="auto"/>
          <w:lang w:eastAsia="en-GB"/>
        </w:rPr>
        <w:t>Seletuskirja alusel hakkab haiglaerandi rahastamine toimuma Tervisekassa tervishoiuteenuste loetelu kaudu</w:t>
      </w:r>
      <w:r w:rsidRPr="00D35F78">
        <w:rPr>
          <w:rFonts w:eastAsia="Times New Roman"/>
          <w:color w:val="auto"/>
          <w:sz w:val="24"/>
          <w:szCs w:val="24"/>
          <w:bdr w:val="none" w:sz="0" w:space="0" w:color="auto"/>
          <w:lang w:eastAsia="en-GB"/>
        </w:rPr>
        <w:t>.</w:t>
      </w:r>
      <w:r w:rsidR="00390AC9" w:rsidRPr="00D35F78">
        <w:rPr>
          <w:rFonts w:eastAsia="Times New Roman"/>
          <w:color w:val="auto"/>
          <w:sz w:val="24"/>
          <w:szCs w:val="24"/>
          <w:bdr w:val="none" w:sz="0" w:space="0" w:color="auto"/>
          <w:lang w:eastAsia="en-GB"/>
        </w:rPr>
        <w:t xml:space="preserve"> </w:t>
      </w:r>
      <w:r w:rsidRPr="00D35F78">
        <w:rPr>
          <w:rFonts w:eastAsia="Times New Roman"/>
          <w:color w:val="auto"/>
          <w:sz w:val="24"/>
          <w:szCs w:val="24"/>
          <w:bdr w:val="none" w:sz="0" w:space="0" w:color="auto"/>
          <w:lang w:eastAsia="en-GB"/>
        </w:rPr>
        <w:t>Täna on tervishoiuteenuste loetellu pääsemiseks määrusega kehtestatud kriteeriumid nii tõenduspõhisusele (nt ravimite korral randomiseeritud kliiniliste uuringute tulemused jms) kui kulutõhususele. Kitsaskoh</w:t>
      </w:r>
      <w:r w:rsidR="00922BB0" w:rsidRPr="00D35F78">
        <w:rPr>
          <w:rFonts w:eastAsia="Times New Roman"/>
          <w:color w:val="auto"/>
          <w:sz w:val="24"/>
          <w:szCs w:val="24"/>
          <w:bdr w:val="none" w:sz="0" w:space="0" w:color="auto"/>
          <w:lang w:eastAsia="en-GB"/>
        </w:rPr>
        <w:t xml:space="preserve">aks </w:t>
      </w:r>
      <w:r w:rsidR="00922BB0" w:rsidRPr="00D35F78">
        <w:rPr>
          <w:rFonts w:eastAsia="Times New Roman"/>
          <w:color w:val="auto"/>
          <w:sz w:val="24"/>
          <w:szCs w:val="24"/>
          <w:bdr w:val="none" w:sz="0" w:space="0" w:color="auto"/>
          <w:lang w:eastAsia="en-GB"/>
        </w:rPr>
        <w:lastRenderedPageBreak/>
        <w:t>saab pidada</w:t>
      </w:r>
      <w:r w:rsidRPr="00D35F78">
        <w:rPr>
          <w:rFonts w:eastAsia="Times New Roman"/>
          <w:color w:val="auto"/>
          <w:sz w:val="24"/>
          <w:szCs w:val="24"/>
          <w:bdr w:val="none" w:sz="0" w:space="0" w:color="auto"/>
          <w:lang w:eastAsia="en-GB"/>
        </w:rPr>
        <w:t xml:space="preserve"> erinev</w:t>
      </w:r>
      <w:r w:rsidR="00922BB0" w:rsidRPr="00D35F78">
        <w:rPr>
          <w:rFonts w:eastAsia="Times New Roman"/>
          <w:color w:val="auto"/>
          <w:sz w:val="24"/>
          <w:szCs w:val="24"/>
          <w:bdr w:val="none" w:sz="0" w:space="0" w:color="auto"/>
          <w:lang w:eastAsia="en-GB"/>
        </w:rPr>
        <w:t>at</w:t>
      </w:r>
      <w:r w:rsidRPr="00D35F78">
        <w:rPr>
          <w:rFonts w:eastAsia="Times New Roman"/>
          <w:color w:val="auto"/>
          <w:sz w:val="24"/>
          <w:szCs w:val="24"/>
          <w:bdr w:val="none" w:sz="0" w:space="0" w:color="auto"/>
          <w:lang w:eastAsia="en-GB"/>
        </w:rPr>
        <w:t xml:space="preserve"> kohtlemi</w:t>
      </w:r>
      <w:r w:rsidR="00922BB0" w:rsidRPr="00D35F78">
        <w:rPr>
          <w:rFonts w:eastAsia="Times New Roman"/>
          <w:color w:val="auto"/>
          <w:sz w:val="24"/>
          <w:szCs w:val="24"/>
          <w:bdr w:val="none" w:sz="0" w:space="0" w:color="auto"/>
          <w:lang w:eastAsia="en-GB"/>
        </w:rPr>
        <w:t>st</w:t>
      </w:r>
      <w:r w:rsidRPr="00D35F78">
        <w:rPr>
          <w:rFonts w:eastAsia="Times New Roman"/>
          <w:color w:val="auto"/>
          <w:sz w:val="24"/>
          <w:szCs w:val="24"/>
          <w:bdr w:val="none" w:sz="0" w:space="0" w:color="auto"/>
          <w:lang w:eastAsia="en-GB"/>
        </w:rPr>
        <w:t xml:space="preserve"> müügiloaga ja haiglaerandi korras valmistatud ravimite vahel. </w:t>
      </w:r>
    </w:p>
    <w:p w14:paraId="42718FA4" w14:textId="3C83B22E" w:rsidR="00486439" w:rsidRPr="00D35F78" w:rsidRDefault="00486439" w:rsidP="00FF453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val="0"/>
        <w:spacing w:after="0" w:line="240" w:lineRule="auto"/>
        <w:ind w:left="851"/>
        <w:contextualSpacing/>
        <w:jc w:val="both"/>
        <w:rPr>
          <w:rFonts w:eastAsia="Times New Roman"/>
          <w:color w:val="auto"/>
          <w:sz w:val="24"/>
          <w:szCs w:val="24"/>
          <w:bdr w:val="none" w:sz="0" w:space="0" w:color="auto"/>
          <w:lang w:eastAsia="en-GB"/>
        </w:rPr>
      </w:pPr>
      <w:r w:rsidRPr="00D35F78">
        <w:rPr>
          <w:rFonts w:eastAsia="Times New Roman"/>
          <w:b/>
          <w:bCs/>
          <w:color w:val="auto"/>
          <w:sz w:val="24"/>
          <w:szCs w:val="24"/>
          <w:bdr w:val="none" w:sz="0" w:space="0" w:color="auto"/>
          <w:lang w:eastAsia="en-GB"/>
        </w:rPr>
        <w:t>ETTEPANEK:</w:t>
      </w:r>
      <w:r w:rsidRPr="00D35F78">
        <w:rPr>
          <w:rFonts w:eastAsia="Times New Roman"/>
          <w:color w:val="auto"/>
          <w:sz w:val="24"/>
          <w:szCs w:val="24"/>
          <w:bdr w:val="none" w:sz="0" w:space="0" w:color="auto"/>
          <w:lang w:eastAsia="en-GB"/>
        </w:rPr>
        <w:t xml:space="preserve"> protsess vajaks selgemat </w:t>
      </w:r>
      <w:r w:rsidR="006A4D2F" w:rsidRPr="00D35F78">
        <w:rPr>
          <w:rFonts w:eastAsia="Times New Roman"/>
          <w:color w:val="auto"/>
          <w:sz w:val="24"/>
          <w:szCs w:val="24"/>
          <w:bdr w:val="none" w:sz="0" w:space="0" w:color="auto"/>
          <w:lang w:eastAsia="en-GB"/>
        </w:rPr>
        <w:t>kirjeldamist ja</w:t>
      </w:r>
      <w:r w:rsidRPr="00D35F78">
        <w:rPr>
          <w:rFonts w:eastAsia="Times New Roman"/>
          <w:color w:val="auto"/>
          <w:sz w:val="24"/>
          <w:szCs w:val="24"/>
          <w:bdr w:val="none" w:sz="0" w:space="0" w:color="auto"/>
          <w:lang w:eastAsia="en-GB"/>
        </w:rPr>
        <w:t xml:space="preserve"> eraldi kriteeriumite kehtestamist. </w:t>
      </w:r>
    </w:p>
    <w:p w14:paraId="19A05328" w14:textId="77777777"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0615D4AE" w14:textId="77777777" w:rsidR="00D13037" w:rsidRPr="00D35F78" w:rsidRDefault="00D13037"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03091EFD" w14:textId="2357731E" w:rsidR="00922BB0" w:rsidRPr="00A91B36" w:rsidRDefault="00922BB0" w:rsidP="00922BB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b/>
          <w:bCs/>
          <w:color w:val="auto"/>
          <w:sz w:val="24"/>
          <w:szCs w:val="24"/>
          <w:u w:val="single"/>
          <w:bdr w:val="none" w:sz="0" w:space="0" w:color="auto"/>
          <w:lang w:val="et-EE" w:eastAsia="en-GB"/>
        </w:rPr>
      </w:pPr>
      <w:r w:rsidRPr="00A91B36">
        <w:rPr>
          <w:rFonts w:eastAsia="Times New Roman"/>
          <w:b/>
          <w:bCs/>
          <w:color w:val="auto"/>
          <w:sz w:val="24"/>
          <w:szCs w:val="24"/>
          <w:u w:val="single"/>
          <w:bdr w:val="none" w:sz="0" w:space="0" w:color="auto"/>
          <w:lang w:val="et-EE" w:eastAsia="en-GB"/>
        </w:rPr>
        <w:t>Müügiloaga ravimi</w:t>
      </w:r>
      <w:r w:rsidR="006A4D2F" w:rsidRPr="00A91B36">
        <w:rPr>
          <w:rFonts w:eastAsia="Times New Roman"/>
          <w:b/>
          <w:bCs/>
          <w:color w:val="auto"/>
          <w:sz w:val="24"/>
          <w:szCs w:val="24"/>
          <w:u w:val="single"/>
          <w:bdr w:val="none" w:sz="0" w:space="0" w:color="auto"/>
          <w:lang w:val="et-EE" w:eastAsia="en-GB"/>
        </w:rPr>
        <w:t xml:space="preserve"> ning </w:t>
      </w:r>
      <w:r w:rsidRPr="00A91B36">
        <w:rPr>
          <w:rFonts w:eastAsia="Times New Roman"/>
          <w:b/>
          <w:bCs/>
          <w:color w:val="auto"/>
          <w:sz w:val="24"/>
          <w:szCs w:val="24"/>
          <w:u w:val="single"/>
          <w:bdr w:val="none" w:sz="0" w:space="0" w:color="auto"/>
          <w:lang w:val="et-EE" w:eastAsia="en-GB"/>
        </w:rPr>
        <w:t>haiglaerandiga ravimi kättesaadavus ja hüvitamine</w:t>
      </w:r>
    </w:p>
    <w:p w14:paraId="36A2F16F" w14:textId="5019A62E" w:rsidR="00486439" w:rsidRPr="00D35F78" w:rsidRDefault="00486439" w:rsidP="00922BB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Ravimiseaduse praegune sõnastus on:</w:t>
      </w:r>
    </w:p>
    <w:p w14:paraId="2415093D" w14:textId="7C806F61"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 16</w:t>
      </w:r>
      <w:r w:rsidRPr="00D35F78">
        <w:rPr>
          <w:rFonts w:eastAsia="Times New Roman"/>
          <w:color w:val="auto"/>
          <w:sz w:val="24"/>
          <w:szCs w:val="24"/>
          <w:bdr w:val="none" w:sz="0" w:space="0" w:color="auto"/>
          <w:vertAlign w:val="superscript"/>
          <w:lang w:eastAsia="en-GB"/>
        </w:rPr>
        <w:t>1</w:t>
      </w:r>
      <w:r w:rsidRPr="00D35F78">
        <w:rPr>
          <w:rFonts w:eastAsia="Times New Roman"/>
          <w:color w:val="auto"/>
          <w:sz w:val="24"/>
          <w:szCs w:val="24"/>
          <w:bdr w:val="none" w:sz="0" w:space="0" w:color="auto"/>
          <w:lang w:eastAsia="en-GB"/>
        </w:rPr>
        <w:t>. Haiglaerandi tingimused</w:t>
      </w:r>
    </w:p>
    <w:p w14:paraId="561041CD" w14:textId="6EA4E6B0"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Haiglaerandi korras võib taotleda haiglaerandi ravimi valmistamise ja kasutamise luba (edaspidi haiglaerandi luba), kui loa taotlemine vastab kõigile järgmistele tingimustele:</w:t>
      </w:r>
    </w:p>
    <w:p w14:paraId="48B92ABE" w14:textId="2BF83609"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1)</w:t>
      </w:r>
      <w:r w:rsidR="00D13037" w:rsidRPr="00D35F78">
        <w:rPr>
          <w:rFonts w:eastAsia="Times New Roman"/>
          <w:color w:val="auto"/>
          <w:sz w:val="24"/>
          <w:szCs w:val="24"/>
          <w:bdr w:val="none" w:sz="0" w:space="0" w:color="auto"/>
          <w:lang w:eastAsia="en-GB"/>
        </w:rPr>
        <w:t xml:space="preserve"> </w:t>
      </w:r>
      <w:r w:rsidRPr="00D35F78">
        <w:rPr>
          <w:rFonts w:eastAsia="Times New Roman"/>
          <w:color w:val="auto"/>
          <w:sz w:val="24"/>
          <w:szCs w:val="24"/>
          <w:bdr w:val="none" w:sz="0" w:space="0" w:color="auto"/>
          <w:lang w:eastAsia="en-GB"/>
        </w:rPr>
        <w:t>sama näidustusega ja samale patsiendirühmale mõeldud müügiloaga uudne ravim puudub või seda ei turustata;</w:t>
      </w:r>
    </w:p>
    <w:p w14:paraId="02A989A1" w14:textId="4732EB24"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3D11875B" w14:textId="436915C2"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 xml:space="preserve">Muudatuse jõustudes oleks </w:t>
      </w:r>
      <w:r w:rsidR="00D13037" w:rsidRPr="00D35F78">
        <w:rPr>
          <w:rFonts w:eastAsia="Times New Roman"/>
          <w:color w:val="auto"/>
          <w:sz w:val="24"/>
          <w:szCs w:val="24"/>
          <w:bdr w:val="none" w:sz="0" w:space="0" w:color="auto"/>
          <w:lang w:eastAsia="en-GB"/>
        </w:rPr>
        <w:t>sõnastus</w:t>
      </w:r>
      <w:r w:rsidRPr="00D35F78">
        <w:rPr>
          <w:rFonts w:eastAsia="Times New Roman"/>
          <w:color w:val="auto"/>
          <w:sz w:val="24"/>
          <w:szCs w:val="24"/>
          <w:bdr w:val="none" w:sz="0" w:space="0" w:color="auto"/>
          <w:lang w:eastAsia="en-GB"/>
        </w:rPr>
        <w:t xml:space="preserve"> järgmine:</w:t>
      </w:r>
    </w:p>
    <w:p w14:paraId="64828BCB" w14:textId="6F63DF9B"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1) paragrahvi 16</w:t>
      </w:r>
      <w:r w:rsidRPr="00D35F78">
        <w:rPr>
          <w:rFonts w:eastAsia="Times New Roman"/>
          <w:color w:val="auto"/>
          <w:sz w:val="24"/>
          <w:szCs w:val="24"/>
          <w:bdr w:val="none" w:sz="0" w:space="0" w:color="auto"/>
          <w:vertAlign w:val="superscript"/>
          <w:lang w:eastAsia="en-GB"/>
        </w:rPr>
        <w:t>1</w:t>
      </w:r>
      <w:r w:rsidR="00D13037" w:rsidRPr="00D35F78">
        <w:rPr>
          <w:rFonts w:eastAsia="Times New Roman"/>
          <w:color w:val="auto"/>
          <w:sz w:val="24"/>
          <w:szCs w:val="24"/>
          <w:bdr w:val="none" w:sz="0" w:space="0" w:color="auto"/>
          <w:lang w:eastAsia="en-GB"/>
        </w:rPr>
        <w:t xml:space="preserve"> </w:t>
      </w:r>
      <w:r w:rsidRPr="00D35F78">
        <w:rPr>
          <w:rFonts w:eastAsia="Times New Roman"/>
          <w:color w:val="auto"/>
          <w:sz w:val="24"/>
          <w:szCs w:val="24"/>
          <w:bdr w:val="none" w:sz="0" w:space="0" w:color="auto"/>
          <w:lang w:eastAsia="en-GB"/>
        </w:rPr>
        <w:t>punktid 1 ja 2 muudetakse ja sõnastatakse järgmiselt:</w:t>
      </w:r>
    </w:p>
    <w:p w14:paraId="6B000912" w14:textId="17F85E25"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1)</w:t>
      </w:r>
      <w:r w:rsidR="00D13037" w:rsidRPr="00D35F78">
        <w:rPr>
          <w:rFonts w:eastAsia="Times New Roman"/>
          <w:color w:val="auto"/>
          <w:sz w:val="24"/>
          <w:szCs w:val="24"/>
          <w:bdr w:val="none" w:sz="0" w:space="0" w:color="auto"/>
          <w:lang w:eastAsia="en-GB"/>
        </w:rPr>
        <w:t xml:space="preserve"> </w:t>
      </w:r>
      <w:r w:rsidRPr="00D35F78">
        <w:rPr>
          <w:rFonts w:eastAsia="Times New Roman"/>
          <w:color w:val="auto"/>
          <w:sz w:val="24"/>
          <w:szCs w:val="24"/>
          <w:bdr w:val="none" w:sz="0" w:space="0" w:color="auto"/>
          <w:lang w:eastAsia="en-GB"/>
        </w:rPr>
        <w:t>müügiloaga sarnane uudne ravim puudub või ei ole Eestis patsientidele piisavalt kättesaadav;</w:t>
      </w:r>
    </w:p>
    <w:p w14:paraId="776F3CE9" w14:textId="77777777" w:rsidR="00D13037" w:rsidRPr="00D35F78" w:rsidRDefault="00D13037"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7B68DA11" w14:textId="1CA10F2B" w:rsidR="00486439" w:rsidRPr="00D35F78" w:rsidRDefault="00922BB0"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000000" w:themeColor="text1"/>
          <w:sz w:val="24"/>
          <w:szCs w:val="24"/>
          <w:bdr w:val="none" w:sz="0" w:space="0" w:color="auto"/>
          <w:lang w:eastAsia="en-GB"/>
        </w:rPr>
      </w:pPr>
      <w:r w:rsidRPr="00D35F78">
        <w:rPr>
          <w:rFonts w:eastAsia="Times New Roman"/>
          <w:color w:val="000000" w:themeColor="text1"/>
          <w:sz w:val="24"/>
          <w:szCs w:val="24"/>
          <w:bdr w:val="none" w:sz="0" w:space="0" w:color="auto"/>
          <w:lang w:eastAsia="en-GB"/>
        </w:rPr>
        <w:t xml:space="preserve">Meie hinnangul </w:t>
      </w:r>
      <w:r w:rsidR="00FF4536" w:rsidRPr="00D35F78">
        <w:rPr>
          <w:rFonts w:eastAsia="Times New Roman"/>
          <w:color w:val="000000" w:themeColor="text1"/>
          <w:sz w:val="24"/>
          <w:szCs w:val="24"/>
          <w:bdr w:val="none" w:sz="0" w:space="0" w:color="auto"/>
          <w:lang w:eastAsia="en-GB"/>
        </w:rPr>
        <w:t xml:space="preserve">tähendab </w:t>
      </w:r>
      <w:r w:rsidRPr="00D35F78">
        <w:rPr>
          <w:rFonts w:eastAsia="Times New Roman"/>
          <w:color w:val="000000" w:themeColor="text1"/>
          <w:sz w:val="24"/>
          <w:szCs w:val="24"/>
          <w:bdr w:val="none" w:sz="0" w:space="0" w:color="auto"/>
          <w:lang w:eastAsia="en-GB"/>
        </w:rPr>
        <w:t>see</w:t>
      </w:r>
      <w:r w:rsidR="00FF4536" w:rsidRPr="00D35F78">
        <w:rPr>
          <w:rFonts w:eastAsia="Times New Roman"/>
          <w:color w:val="000000" w:themeColor="text1"/>
          <w:sz w:val="24"/>
          <w:szCs w:val="24"/>
          <w:bdr w:val="none" w:sz="0" w:space="0" w:color="auto"/>
          <w:lang w:eastAsia="en-GB"/>
        </w:rPr>
        <w:t>, et</w:t>
      </w:r>
      <w:r w:rsidR="00486439" w:rsidRPr="00D35F78">
        <w:rPr>
          <w:rFonts w:eastAsia="Times New Roman"/>
          <w:color w:val="000000" w:themeColor="text1"/>
          <w:sz w:val="24"/>
          <w:szCs w:val="24"/>
          <w:bdr w:val="none" w:sz="0" w:space="0" w:color="auto"/>
          <w:lang w:eastAsia="en-GB"/>
        </w:rPr>
        <w:t xml:space="preserve"> mitte-turustamine asendatakse ebapiisava kättesaadavusega, mille all mõist</w:t>
      </w:r>
      <w:r w:rsidRPr="00D35F78">
        <w:rPr>
          <w:rFonts w:eastAsia="Times New Roman"/>
          <w:color w:val="000000" w:themeColor="text1"/>
          <w:sz w:val="24"/>
          <w:szCs w:val="24"/>
          <w:bdr w:val="none" w:sz="0" w:space="0" w:color="auto"/>
          <w:lang w:eastAsia="en-GB"/>
        </w:rPr>
        <w:t xml:space="preserve">ame </w:t>
      </w:r>
      <w:r w:rsidR="00486439" w:rsidRPr="00D35F78">
        <w:rPr>
          <w:rFonts w:eastAsia="Times New Roman"/>
          <w:color w:val="000000" w:themeColor="text1"/>
          <w:sz w:val="24"/>
          <w:szCs w:val="24"/>
          <w:bdr w:val="none" w:sz="0" w:space="0" w:color="auto"/>
          <w:lang w:eastAsia="en-GB"/>
        </w:rPr>
        <w:t>ka Terviskassa poolse rahastuse puudumist.</w:t>
      </w:r>
    </w:p>
    <w:p w14:paraId="774AEE45" w14:textId="106C6170" w:rsidR="003754F6" w:rsidRPr="00D35F78" w:rsidRDefault="00D35F78" w:rsidP="003754F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Pr>
          <w:rFonts w:eastAsia="Times New Roman"/>
          <w:color w:val="auto"/>
          <w:sz w:val="24"/>
          <w:szCs w:val="24"/>
          <w:bdr w:val="none" w:sz="0" w:space="0" w:color="auto"/>
          <w:lang w:eastAsia="en-GB"/>
        </w:rPr>
        <w:t>H</w:t>
      </w:r>
      <w:r w:rsidR="00486439" w:rsidRPr="00D35F78">
        <w:rPr>
          <w:rFonts w:eastAsia="Times New Roman"/>
          <w:color w:val="auto"/>
          <w:sz w:val="24"/>
          <w:szCs w:val="24"/>
          <w:bdr w:val="none" w:sz="0" w:space="0" w:color="auto"/>
          <w:lang w:eastAsia="en-GB"/>
        </w:rPr>
        <w:t xml:space="preserve">aiglaerandi kasutamist </w:t>
      </w:r>
      <w:r>
        <w:rPr>
          <w:rFonts w:eastAsia="Times New Roman"/>
          <w:color w:val="auto"/>
          <w:sz w:val="24"/>
          <w:szCs w:val="24"/>
          <w:bdr w:val="none" w:sz="0" w:space="0" w:color="auto"/>
          <w:lang w:eastAsia="en-GB"/>
        </w:rPr>
        <w:t xml:space="preserve">on </w:t>
      </w:r>
      <w:r w:rsidR="00486439" w:rsidRPr="00D35F78">
        <w:rPr>
          <w:rFonts w:eastAsia="Times New Roman"/>
          <w:color w:val="auto"/>
          <w:sz w:val="24"/>
          <w:szCs w:val="24"/>
          <w:bdr w:val="none" w:sz="0" w:space="0" w:color="auto"/>
          <w:lang w:eastAsia="en-GB"/>
        </w:rPr>
        <w:t>piiranud just asjaolu, et seda ei olnud võimalik rakendada näidustuse puhul, kui sellele näidustusele on E</w:t>
      </w:r>
      <w:r w:rsidR="00922BB0" w:rsidRPr="00D35F78">
        <w:rPr>
          <w:rFonts w:eastAsia="Times New Roman"/>
          <w:color w:val="auto"/>
          <w:sz w:val="24"/>
          <w:szCs w:val="24"/>
          <w:bdr w:val="none" w:sz="0" w:space="0" w:color="auto"/>
          <w:lang w:eastAsia="en-GB"/>
        </w:rPr>
        <w:t>uroopa Komisjoni</w:t>
      </w:r>
      <w:r w:rsidR="00486439" w:rsidRPr="00D35F78">
        <w:rPr>
          <w:rFonts w:eastAsia="Times New Roman"/>
          <w:color w:val="auto"/>
          <w:sz w:val="24"/>
          <w:szCs w:val="24"/>
          <w:bdr w:val="none" w:sz="0" w:space="0" w:color="auto"/>
          <w:lang w:eastAsia="en-GB"/>
        </w:rPr>
        <w:t xml:space="preserve"> müügiloaga </w:t>
      </w:r>
      <w:r w:rsidR="00771580" w:rsidRPr="00D35F78">
        <w:rPr>
          <w:rFonts w:eastAsia="Times New Roman"/>
          <w:color w:val="auto"/>
          <w:sz w:val="24"/>
          <w:szCs w:val="24"/>
          <w:bdr w:val="none" w:sz="0" w:space="0" w:color="auto"/>
          <w:lang w:eastAsia="en-GB"/>
        </w:rPr>
        <w:t xml:space="preserve">uudne ravim </w:t>
      </w:r>
      <w:r w:rsidR="00486439" w:rsidRPr="00D35F78">
        <w:rPr>
          <w:rFonts w:eastAsia="Times New Roman"/>
          <w:color w:val="auto"/>
          <w:sz w:val="24"/>
          <w:szCs w:val="24"/>
          <w:bdr w:val="none" w:sz="0" w:space="0" w:color="auto"/>
          <w:lang w:eastAsia="en-GB"/>
        </w:rPr>
        <w:t>registreeritud. Sisuliselt või</w:t>
      </w:r>
      <w:r w:rsidR="00771580" w:rsidRPr="00D35F78">
        <w:rPr>
          <w:rFonts w:eastAsia="Times New Roman"/>
          <w:color w:val="auto"/>
          <w:sz w:val="24"/>
          <w:szCs w:val="24"/>
          <w:bdr w:val="none" w:sz="0" w:space="0" w:color="auto"/>
          <w:lang w:eastAsia="en-GB"/>
        </w:rPr>
        <w:t>vad</w:t>
      </w:r>
      <w:r w:rsidR="00486439" w:rsidRPr="00D35F78">
        <w:rPr>
          <w:rFonts w:eastAsia="Times New Roman"/>
          <w:color w:val="auto"/>
          <w:sz w:val="24"/>
          <w:szCs w:val="24"/>
          <w:bdr w:val="none" w:sz="0" w:space="0" w:color="auto"/>
          <w:lang w:eastAsia="en-GB"/>
        </w:rPr>
        <w:t xml:space="preserve"> uue </w:t>
      </w:r>
      <w:r w:rsidR="00FF4536" w:rsidRPr="00D35F78">
        <w:rPr>
          <w:rFonts w:eastAsia="Times New Roman"/>
          <w:color w:val="auto"/>
          <w:sz w:val="24"/>
          <w:szCs w:val="24"/>
          <w:bdr w:val="none" w:sz="0" w:space="0" w:color="auto"/>
          <w:lang w:eastAsia="en-GB"/>
        </w:rPr>
        <w:t>sõnastuse</w:t>
      </w:r>
      <w:r w:rsidR="00486439" w:rsidRPr="00D35F78">
        <w:rPr>
          <w:rFonts w:eastAsia="Times New Roman"/>
          <w:color w:val="auto"/>
          <w:sz w:val="24"/>
          <w:szCs w:val="24"/>
          <w:bdr w:val="none" w:sz="0" w:space="0" w:color="auto"/>
          <w:lang w:eastAsia="en-GB"/>
        </w:rPr>
        <w:t xml:space="preserve"> jõustudes olla kõik </w:t>
      </w:r>
      <w:r w:rsidR="00771580" w:rsidRPr="00D35F78">
        <w:rPr>
          <w:rFonts w:eastAsia="Times New Roman"/>
          <w:color w:val="auto"/>
          <w:sz w:val="24"/>
          <w:szCs w:val="24"/>
          <w:bdr w:val="none" w:sz="0" w:space="0" w:color="auto"/>
          <w:lang w:eastAsia="en-GB"/>
        </w:rPr>
        <w:t>uudsed</w:t>
      </w:r>
      <w:r w:rsidR="00486439" w:rsidRPr="00D35F78">
        <w:rPr>
          <w:rFonts w:eastAsia="Times New Roman"/>
          <w:color w:val="auto"/>
          <w:sz w:val="24"/>
          <w:szCs w:val="24"/>
          <w:bdr w:val="none" w:sz="0" w:space="0" w:color="auto"/>
          <w:lang w:eastAsia="en-GB"/>
        </w:rPr>
        <w:t xml:space="preserve"> ravi</w:t>
      </w:r>
      <w:r w:rsidR="00771580" w:rsidRPr="00D35F78">
        <w:rPr>
          <w:rFonts w:eastAsia="Times New Roman"/>
          <w:color w:val="auto"/>
          <w:sz w:val="24"/>
          <w:szCs w:val="24"/>
          <w:bdr w:val="none" w:sz="0" w:space="0" w:color="auto"/>
          <w:lang w:eastAsia="en-GB"/>
        </w:rPr>
        <w:t>mi</w:t>
      </w:r>
      <w:r w:rsidR="00486439" w:rsidRPr="00D35F78">
        <w:rPr>
          <w:rFonts w:eastAsia="Times New Roman"/>
          <w:color w:val="auto"/>
          <w:sz w:val="24"/>
          <w:szCs w:val="24"/>
          <w:bdr w:val="none" w:sz="0" w:space="0" w:color="auto"/>
          <w:lang w:eastAsia="en-GB"/>
        </w:rPr>
        <w:t>d Eestis blokeeritud</w:t>
      </w:r>
      <w:r w:rsidR="00FF4536" w:rsidRPr="00D35F78">
        <w:rPr>
          <w:rFonts w:eastAsia="Times New Roman"/>
          <w:color w:val="auto"/>
          <w:sz w:val="24"/>
          <w:szCs w:val="24"/>
          <w:bdr w:val="none" w:sz="0" w:space="0" w:color="auto"/>
          <w:lang w:eastAsia="en-GB"/>
        </w:rPr>
        <w:t>,</w:t>
      </w:r>
      <w:r w:rsidR="00486439" w:rsidRPr="00D35F78">
        <w:rPr>
          <w:rFonts w:eastAsia="Times New Roman"/>
          <w:color w:val="auto"/>
          <w:sz w:val="24"/>
          <w:szCs w:val="24"/>
          <w:bdr w:val="none" w:sz="0" w:space="0" w:color="auto"/>
          <w:lang w:eastAsia="en-GB"/>
        </w:rPr>
        <w:t xml:space="preserve"> sest Tervisekassa vaates on kindlasti haiglaerandi korras toodetud </w:t>
      </w:r>
      <w:r w:rsidR="00771580" w:rsidRPr="00D35F78">
        <w:rPr>
          <w:rFonts w:eastAsia="Times New Roman"/>
          <w:color w:val="auto"/>
          <w:sz w:val="24"/>
          <w:szCs w:val="24"/>
          <w:bdr w:val="none" w:sz="0" w:space="0" w:color="auto"/>
          <w:lang w:eastAsia="en-GB"/>
        </w:rPr>
        <w:t xml:space="preserve">uudne </w:t>
      </w:r>
      <w:r w:rsidR="00486439" w:rsidRPr="00D35F78">
        <w:rPr>
          <w:rFonts w:eastAsia="Times New Roman"/>
          <w:color w:val="auto"/>
          <w:sz w:val="24"/>
          <w:szCs w:val="24"/>
          <w:bdr w:val="none" w:sz="0" w:space="0" w:color="auto"/>
          <w:lang w:eastAsia="en-GB"/>
        </w:rPr>
        <w:t>ravi</w:t>
      </w:r>
      <w:r w:rsidR="00771580" w:rsidRPr="00D35F78">
        <w:rPr>
          <w:rFonts w:eastAsia="Times New Roman"/>
          <w:color w:val="auto"/>
          <w:sz w:val="24"/>
          <w:szCs w:val="24"/>
          <w:bdr w:val="none" w:sz="0" w:space="0" w:color="auto"/>
          <w:lang w:eastAsia="en-GB"/>
        </w:rPr>
        <w:t>m</w:t>
      </w:r>
      <w:r w:rsidR="00486439" w:rsidRPr="00D35F78">
        <w:rPr>
          <w:rFonts w:eastAsia="Times New Roman"/>
          <w:color w:val="auto"/>
          <w:sz w:val="24"/>
          <w:szCs w:val="24"/>
          <w:bdr w:val="none" w:sz="0" w:space="0" w:color="auto"/>
          <w:lang w:eastAsia="en-GB"/>
        </w:rPr>
        <w:t xml:space="preserve"> soodsam ja </w:t>
      </w:r>
      <w:r w:rsidR="007657F4" w:rsidRPr="00D35F78">
        <w:rPr>
          <w:rFonts w:eastAsia="Times New Roman"/>
          <w:color w:val="auto"/>
          <w:sz w:val="24"/>
          <w:szCs w:val="24"/>
          <w:bdr w:val="none" w:sz="0" w:space="0" w:color="auto"/>
          <w:lang w:eastAsia="en-GB"/>
        </w:rPr>
        <w:t>eelda</w:t>
      </w:r>
      <w:r>
        <w:rPr>
          <w:rFonts w:eastAsia="Times New Roman"/>
          <w:color w:val="auto"/>
          <w:sz w:val="24"/>
          <w:szCs w:val="24"/>
          <w:bdr w:val="none" w:sz="0" w:space="0" w:color="auto"/>
          <w:lang w:eastAsia="en-GB"/>
        </w:rPr>
        <w:t>takse</w:t>
      </w:r>
      <w:r w:rsidR="007657F4" w:rsidRPr="00D35F78">
        <w:rPr>
          <w:rFonts w:eastAsia="Times New Roman"/>
          <w:color w:val="auto"/>
          <w:sz w:val="24"/>
          <w:szCs w:val="24"/>
          <w:bdr w:val="none" w:sz="0" w:space="0" w:color="auto"/>
          <w:lang w:eastAsia="en-GB"/>
        </w:rPr>
        <w:t xml:space="preserve">, et </w:t>
      </w:r>
      <w:r w:rsidR="00771580" w:rsidRPr="00D35F78">
        <w:rPr>
          <w:rFonts w:eastAsia="Times New Roman"/>
          <w:color w:val="auto"/>
          <w:sz w:val="24"/>
          <w:szCs w:val="24"/>
          <w:bdr w:val="none" w:sz="0" w:space="0" w:color="auto"/>
          <w:lang w:eastAsia="en-GB"/>
        </w:rPr>
        <w:t xml:space="preserve">iga müügiloaga uudset ravimit tuleks võrrelda </w:t>
      </w:r>
      <w:r w:rsidR="00486439" w:rsidRPr="00D35F78">
        <w:rPr>
          <w:rFonts w:eastAsia="Times New Roman"/>
          <w:color w:val="auto"/>
          <w:sz w:val="24"/>
          <w:szCs w:val="24"/>
          <w:bdr w:val="none" w:sz="0" w:space="0" w:color="auto"/>
          <w:lang w:eastAsia="en-GB"/>
        </w:rPr>
        <w:t xml:space="preserve">Tervisekassa haiglaerandi </w:t>
      </w:r>
      <w:r>
        <w:rPr>
          <w:rFonts w:eastAsia="Times New Roman"/>
          <w:color w:val="auto"/>
          <w:sz w:val="24"/>
          <w:szCs w:val="24"/>
          <w:bdr w:val="none" w:sz="0" w:space="0" w:color="auto"/>
          <w:lang w:eastAsia="en-GB"/>
        </w:rPr>
        <w:t xml:space="preserve">teenuse </w:t>
      </w:r>
      <w:r w:rsidR="00486439" w:rsidRPr="00D35F78">
        <w:rPr>
          <w:rFonts w:eastAsia="Times New Roman"/>
          <w:color w:val="auto"/>
          <w:sz w:val="24"/>
          <w:szCs w:val="24"/>
          <w:bdr w:val="none" w:sz="0" w:space="0" w:color="auto"/>
          <w:lang w:eastAsia="en-GB"/>
        </w:rPr>
        <w:t>hinnaga.</w:t>
      </w:r>
      <w:r w:rsidR="003754F6" w:rsidRPr="00D35F78">
        <w:rPr>
          <w:rFonts w:eastAsia="Times New Roman"/>
          <w:color w:val="auto"/>
          <w:sz w:val="24"/>
          <w:szCs w:val="24"/>
          <w:bdr w:val="none" w:sz="0" w:space="0" w:color="auto"/>
          <w:lang w:eastAsia="en-GB"/>
        </w:rPr>
        <w:t xml:space="preserve"> Teisalt, seadusemuudatus looks patsientidele ligipääsu haiglaerandi alusel toodetud individualiseeritud uudsetele ravidele, mis on siiani olematu, ja arvestades Tervisekassa hoiakut kõrgehinnaliste innovatiivsete raviviiside rahastamisel, ilmselt ka mitte lahenev nähtavas ajalises perspektiivis.</w:t>
      </w:r>
    </w:p>
    <w:p w14:paraId="31FF6A4C" w14:textId="10A3C27C"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3F4414A5" w14:textId="156F21DF" w:rsidR="008E7156" w:rsidRPr="00D35F78" w:rsidRDefault="003754F6" w:rsidP="008E715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Rõhutame siinkohal</w:t>
      </w:r>
      <w:r w:rsidR="00D35F78" w:rsidRPr="00D35F78">
        <w:rPr>
          <w:rFonts w:eastAsia="Times New Roman"/>
          <w:color w:val="auto"/>
          <w:sz w:val="24"/>
          <w:szCs w:val="24"/>
          <w:bdr w:val="none" w:sz="0" w:space="0" w:color="auto"/>
          <w:lang w:eastAsia="en-GB"/>
        </w:rPr>
        <w:t xml:space="preserve">, et </w:t>
      </w:r>
      <w:r w:rsidR="008E7156" w:rsidRPr="00D35F78">
        <w:rPr>
          <w:rFonts w:eastAsia="Times New Roman"/>
          <w:color w:val="auto"/>
          <w:sz w:val="24"/>
          <w:szCs w:val="24"/>
          <w:bdr w:val="none" w:sz="0" w:space="0" w:color="auto"/>
          <w:lang w:eastAsia="en-GB"/>
        </w:rPr>
        <w:t xml:space="preserve">EFPIA ja </w:t>
      </w:r>
      <w:proofErr w:type="spellStart"/>
      <w:r w:rsidR="008E7156" w:rsidRPr="00D35F78">
        <w:rPr>
          <w:rFonts w:eastAsia="Times New Roman"/>
          <w:color w:val="auto"/>
          <w:sz w:val="24"/>
          <w:szCs w:val="24"/>
          <w:bdr w:val="none" w:sz="0" w:space="0" w:color="auto"/>
          <w:lang w:eastAsia="en-GB"/>
        </w:rPr>
        <w:t>EuropaBio</w:t>
      </w:r>
      <w:proofErr w:type="spellEnd"/>
      <w:r w:rsidR="008E7156" w:rsidRPr="00D35F78">
        <w:rPr>
          <w:rFonts w:eastAsia="Times New Roman"/>
          <w:color w:val="auto"/>
          <w:sz w:val="24"/>
          <w:szCs w:val="24"/>
          <w:bdr w:val="none" w:sz="0" w:space="0" w:color="auto"/>
          <w:lang w:eastAsia="en-GB"/>
        </w:rPr>
        <w:t xml:space="preserve"> positsioon on olnud, et haiglaerand oleks kasutatav vaid näidustustel, millele EL-is puudub registreeritud uudne ravim, mille efektiivsus, ohutus ja kvaliteet on tagatud ulatuslikumate uuringute ja kontrollmeetmetega.</w:t>
      </w:r>
    </w:p>
    <w:p w14:paraId="31D8DE00" w14:textId="77777777" w:rsidR="008E7156" w:rsidRPr="00A91B36" w:rsidRDefault="00000000" w:rsidP="008E715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0000FF"/>
          <w:sz w:val="20"/>
          <w:szCs w:val="20"/>
          <w:bdr w:val="none" w:sz="0" w:space="0" w:color="auto"/>
          <w:lang w:eastAsia="en-GB"/>
        </w:rPr>
      </w:pPr>
      <w:hyperlink r:id="rId8" w:history="1">
        <w:r w:rsidR="008E7156" w:rsidRPr="00A91B36">
          <w:rPr>
            <w:rFonts w:eastAsia="Times New Roman"/>
            <w:color w:val="0000FF"/>
            <w:sz w:val="20"/>
            <w:szCs w:val="20"/>
            <w:u w:val="single"/>
            <w:bdr w:val="none" w:sz="0" w:space="0" w:color="auto"/>
            <w:lang w:eastAsia="en-GB"/>
          </w:rPr>
          <w:t>https://www.efpia.eu/media/1wwnhpem/arm-efpia-europabio-eucope-isct-joint-paper-on-hospital-exemption-scheme-july-2023.pdf</w:t>
        </w:r>
      </w:hyperlink>
    </w:p>
    <w:p w14:paraId="67C97A98" w14:textId="77777777" w:rsidR="008E7156" w:rsidRPr="00A91B36" w:rsidRDefault="00000000" w:rsidP="008E715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0000FF"/>
          <w:sz w:val="20"/>
          <w:szCs w:val="20"/>
          <w:bdr w:val="none" w:sz="0" w:space="0" w:color="auto"/>
          <w:lang w:eastAsia="en-GB"/>
        </w:rPr>
      </w:pPr>
      <w:hyperlink r:id="rId9" w:history="1">
        <w:r w:rsidR="008E7156" w:rsidRPr="00A91B36">
          <w:rPr>
            <w:rFonts w:eastAsia="Times New Roman"/>
            <w:color w:val="0000FF"/>
            <w:sz w:val="20"/>
            <w:szCs w:val="20"/>
            <w:u w:val="single"/>
            <w:bdr w:val="none" w:sz="0" w:space="0" w:color="auto"/>
            <w:lang w:eastAsia="en-GB"/>
          </w:rPr>
          <w:t>https://www.europabio.org/wp-content/uploads/2021/01/2020_10_H_PP_Application-of-the-ATMP-Hospital-Exemption-in-the-EU.pdf</w:t>
        </w:r>
      </w:hyperlink>
    </w:p>
    <w:p w14:paraId="2847D572" w14:textId="77777777" w:rsidR="00D35F78" w:rsidRDefault="00D35F78" w:rsidP="003754F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68F3DC21" w14:textId="4591825C" w:rsidR="003754F6" w:rsidRPr="00D35F78" w:rsidRDefault="003754F6" w:rsidP="003754F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FF0000"/>
          <w:sz w:val="24"/>
          <w:szCs w:val="24"/>
          <w:bdr w:val="none" w:sz="0" w:space="0" w:color="auto"/>
          <w:lang w:eastAsia="en-GB"/>
        </w:rPr>
      </w:pPr>
      <w:r w:rsidRPr="00D35F78">
        <w:rPr>
          <w:rFonts w:eastAsia="Times New Roman"/>
          <w:color w:val="auto"/>
          <w:sz w:val="24"/>
          <w:szCs w:val="24"/>
          <w:bdr w:val="none" w:sz="0" w:space="0" w:color="auto"/>
          <w:lang w:eastAsia="en-GB"/>
        </w:rPr>
        <w:t xml:space="preserve">Seletuskiri viitab, et haiglaerand ei peaks kujunema takistuseks müügiloaga uudsete ravimite arendamisele, kuid seadusemuudatusega loodav võimalus haiglaerandi oluliselt laiemaks kasutamiseks võib RTLi hinnangul pärssida müügiloaga uudsete ravimite kättesaadavust ka näidustustel, mille korral Eestis mingil põhjusel haiglaerandi alusel pole võimalik ravimit toota. </w:t>
      </w:r>
    </w:p>
    <w:p w14:paraId="2E9DBBC8" w14:textId="77777777"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 </w:t>
      </w:r>
    </w:p>
    <w:p w14:paraId="6213BCAC" w14:textId="77777777"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r w:rsidRPr="00D35F78">
        <w:rPr>
          <w:rFonts w:eastAsia="Times New Roman"/>
          <w:color w:val="auto"/>
          <w:sz w:val="24"/>
          <w:szCs w:val="24"/>
          <w:bdr w:val="none" w:sz="0" w:space="0" w:color="auto"/>
          <w:lang w:eastAsia="en-GB"/>
        </w:rPr>
        <w:t> </w:t>
      </w:r>
    </w:p>
    <w:p w14:paraId="71B6E900" w14:textId="02DD86E1"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Times New Roman"/>
          <w:color w:val="auto"/>
          <w:sz w:val="24"/>
          <w:szCs w:val="24"/>
          <w:bdr w:val="none" w:sz="0" w:space="0" w:color="auto"/>
          <w:lang w:eastAsia="en-GB"/>
        </w:rPr>
      </w:pPr>
    </w:p>
    <w:p w14:paraId="651D80E6" w14:textId="77777777"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Aptos"/>
          <w:color w:val="auto"/>
          <w:kern w:val="2"/>
          <w:sz w:val="24"/>
          <w:szCs w:val="24"/>
          <w:bdr w:val="none" w:sz="0" w:space="0" w:color="auto"/>
          <w:lang w:eastAsia="en-US"/>
          <w14:ligatures w14:val="standardContextual"/>
        </w:rPr>
      </w:pPr>
    </w:p>
    <w:p w14:paraId="37E6EC38" w14:textId="4B4BB00A" w:rsidR="00486439" w:rsidRPr="00D35F78" w:rsidRDefault="00486439" w:rsidP="00390A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Fonts w:eastAsia="Aptos"/>
          <w:color w:val="auto"/>
          <w:kern w:val="2"/>
          <w:sz w:val="24"/>
          <w:szCs w:val="24"/>
          <w:bdr w:val="none" w:sz="0" w:space="0" w:color="auto"/>
          <w:lang w:eastAsia="en-US"/>
          <w14:ligatures w14:val="standardContextual"/>
        </w:rPr>
      </w:pPr>
      <w:r w:rsidRPr="00D35F78">
        <w:rPr>
          <w:color w:val="auto"/>
          <w:sz w:val="24"/>
          <w:szCs w:val="24"/>
        </w:rPr>
        <w:lastRenderedPageBreak/>
        <w:tab/>
      </w:r>
    </w:p>
    <w:p w14:paraId="66DF3398" w14:textId="77777777" w:rsidR="002C5069" w:rsidRPr="00D35F78" w:rsidRDefault="002C5069" w:rsidP="00390AC9">
      <w:pPr>
        <w:spacing w:after="0" w:line="240" w:lineRule="auto"/>
        <w:contextualSpacing/>
        <w:jc w:val="both"/>
        <w:rPr>
          <w:sz w:val="24"/>
          <w:szCs w:val="24"/>
        </w:rPr>
      </w:pPr>
    </w:p>
    <w:p w14:paraId="5C1FF55F" w14:textId="77777777" w:rsidR="002C5069" w:rsidRPr="00D35F78" w:rsidRDefault="002C5069" w:rsidP="00390AC9">
      <w:pPr>
        <w:spacing w:after="0" w:line="240" w:lineRule="auto"/>
        <w:contextualSpacing/>
        <w:jc w:val="both"/>
        <w:rPr>
          <w:sz w:val="24"/>
          <w:szCs w:val="24"/>
        </w:rPr>
      </w:pPr>
    </w:p>
    <w:p w14:paraId="06A2A32F" w14:textId="2FA3844E" w:rsidR="002C5069" w:rsidRPr="00D35F78" w:rsidRDefault="007C06B2" w:rsidP="00390AC9">
      <w:pPr>
        <w:spacing w:after="0" w:line="240" w:lineRule="auto"/>
        <w:contextualSpacing/>
        <w:jc w:val="both"/>
        <w:rPr>
          <w:sz w:val="24"/>
          <w:szCs w:val="24"/>
        </w:rPr>
      </w:pPr>
      <w:r w:rsidRPr="00D35F78">
        <w:rPr>
          <w:sz w:val="24"/>
          <w:szCs w:val="24"/>
        </w:rPr>
        <w:t>Lugupidamisega,</w:t>
      </w:r>
    </w:p>
    <w:p w14:paraId="307ED67B" w14:textId="7EB278A4" w:rsidR="007C06B2" w:rsidRPr="00D35F78" w:rsidRDefault="007C06B2" w:rsidP="00390AC9">
      <w:pPr>
        <w:spacing w:after="0" w:line="240" w:lineRule="auto"/>
        <w:contextualSpacing/>
        <w:jc w:val="both"/>
        <w:rPr>
          <w:sz w:val="24"/>
          <w:szCs w:val="24"/>
        </w:rPr>
      </w:pPr>
      <w:r w:rsidRPr="00D35F78">
        <w:rPr>
          <w:sz w:val="24"/>
          <w:szCs w:val="24"/>
        </w:rPr>
        <w:t>Riho Tapfer</w:t>
      </w:r>
    </w:p>
    <w:p w14:paraId="75AA82AB" w14:textId="36C6C76E" w:rsidR="002C5069" w:rsidRPr="00D35F78" w:rsidRDefault="007C06B2" w:rsidP="00021520">
      <w:pPr>
        <w:spacing w:after="0" w:line="240" w:lineRule="auto"/>
        <w:contextualSpacing/>
        <w:jc w:val="both"/>
        <w:rPr>
          <w:sz w:val="24"/>
          <w:szCs w:val="24"/>
        </w:rPr>
      </w:pPr>
      <w:r w:rsidRPr="00D35F78">
        <w:rPr>
          <w:sz w:val="24"/>
          <w:szCs w:val="24"/>
        </w:rPr>
        <w:t>Ravimitootjate Liidu juhataj</w:t>
      </w:r>
      <w:r w:rsidR="00021520" w:rsidRPr="00D35F78">
        <w:rPr>
          <w:sz w:val="24"/>
          <w:szCs w:val="24"/>
        </w:rPr>
        <w:t>a</w:t>
      </w:r>
      <w:r w:rsidR="002C5069" w:rsidRPr="00D35F78">
        <w:rPr>
          <w:sz w:val="24"/>
          <w:szCs w:val="24"/>
        </w:rPr>
        <w:tab/>
      </w:r>
    </w:p>
    <w:sectPr w:rsidR="002C5069" w:rsidRPr="00D35F78" w:rsidSect="00021520">
      <w:headerReference w:type="default" r:id="rId10"/>
      <w:footerReference w:type="default" r:id="rId11"/>
      <w:headerReference w:type="first" r:id="rId12"/>
      <w:footerReference w:type="first" r:id="rId13"/>
      <w:pgSz w:w="11906" w:h="16838"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EC1A" w14:textId="77777777" w:rsidR="00256BA9" w:rsidRPr="00D35F78" w:rsidRDefault="00256BA9">
      <w:pPr>
        <w:spacing w:after="0" w:line="240" w:lineRule="auto"/>
      </w:pPr>
      <w:r w:rsidRPr="00D35F78">
        <w:separator/>
      </w:r>
    </w:p>
  </w:endnote>
  <w:endnote w:type="continuationSeparator" w:id="0">
    <w:p w14:paraId="4C6685E2" w14:textId="77777777" w:rsidR="00256BA9" w:rsidRPr="00D35F78" w:rsidRDefault="00256BA9">
      <w:pPr>
        <w:spacing w:after="0" w:line="240" w:lineRule="auto"/>
      </w:pPr>
      <w:r w:rsidRPr="00D35F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0F22" w14:textId="0C90D5B2" w:rsidR="00390AC9" w:rsidRPr="00D35F78" w:rsidRDefault="00390AC9" w:rsidP="00021520">
    <w:pPr>
      <w:pStyle w:val="Footer"/>
    </w:pPr>
    <w:r w:rsidRPr="00D35F78">
      <w:rPr>
        <w:color w:val="auto"/>
      </w:rPr>
      <w:t>MTÜ Ravimitootjate Liit</w:t>
    </w:r>
    <w:r w:rsidRPr="00D35F78">
      <w:rPr>
        <w:color w:val="auto"/>
      </w:rPr>
      <w:tab/>
    </w:r>
    <w:r w:rsidRPr="00D35F78">
      <w:tab/>
      <w:t xml:space="preserve">e- mail: </w:t>
    </w:r>
    <w:hyperlink r:id="rId1" w:history="1">
      <w:r w:rsidRPr="00D35F78">
        <w:rPr>
          <w:rStyle w:val="Hyperlink"/>
          <w:color w:val="0000FF"/>
        </w:rPr>
        <w:t>info@rtl.ee</w:t>
      </w:r>
    </w:hyperlink>
    <w:r w:rsidRPr="00D35F78">
      <w:t xml:space="preserve">  </w:t>
    </w:r>
  </w:p>
  <w:p w14:paraId="7DF05527" w14:textId="77777777" w:rsidR="00390AC9" w:rsidRPr="00D35F78" w:rsidRDefault="00390AC9" w:rsidP="00390AC9">
    <w:pPr>
      <w:pStyle w:val="Footer"/>
    </w:pPr>
    <w:r w:rsidRPr="00D35F78">
      <w:t>Hobujaama 4</w:t>
    </w:r>
    <w:r w:rsidRPr="00D35F78">
      <w:tab/>
    </w:r>
    <w:r w:rsidRPr="00D35F78">
      <w:tab/>
      <w:t>reg nr: 80004437</w:t>
    </w:r>
  </w:p>
  <w:p w14:paraId="73F0A12A" w14:textId="68C4EA34" w:rsidR="00423E2B" w:rsidRPr="00D35F78" w:rsidRDefault="00390AC9" w:rsidP="00390AC9">
    <w:pPr>
      <w:pStyle w:val="Footer"/>
    </w:pPr>
    <w:r w:rsidRPr="00D35F78">
      <w:t>10151 Tallinn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A114" w14:textId="49C93E35" w:rsidR="002C5069" w:rsidRPr="00D35F78" w:rsidRDefault="006400D7" w:rsidP="006400D7">
    <w:pPr>
      <w:pStyle w:val="Footer"/>
    </w:pPr>
    <w:r w:rsidRPr="00D35F78">
      <w:rPr>
        <w:color w:val="auto"/>
      </w:rPr>
      <w:t>MTÜ Ravimitootjate Lii</w:t>
    </w:r>
    <w:r w:rsidR="002C5069" w:rsidRPr="00D35F78">
      <w:rPr>
        <w:color w:val="auto"/>
      </w:rPr>
      <w:t>t</w:t>
    </w:r>
    <w:r w:rsidR="002C5069" w:rsidRPr="00D35F78">
      <w:rPr>
        <w:color w:val="auto"/>
      </w:rPr>
      <w:tab/>
    </w:r>
    <w:r w:rsidRPr="00D35F78">
      <w:tab/>
    </w:r>
    <w:r w:rsidR="002C5069" w:rsidRPr="00D35F78">
      <w:t xml:space="preserve">e- mail: </w:t>
    </w:r>
    <w:hyperlink r:id="rId1" w:history="1">
      <w:r w:rsidR="009E6137" w:rsidRPr="00D35F78">
        <w:rPr>
          <w:rStyle w:val="Hyperlink"/>
          <w:color w:val="0000FF"/>
        </w:rPr>
        <w:t>info@rtl.ee</w:t>
      </w:r>
    </w:hyperlink>
    <w:r w:rsidR="009E6137" w:rsidRPr="00D35F78">
      <w:t xml:space="preserve"> </w:t>
    </w:r>
    <w:r w:rsidR="002C5069" w:rsidRPr="00D35F78">
      <w:t xml:space="preserve"> </w:t>
    </w:r>
  </w:p>
  <w:p w14:paraId="294641F8" w14:textId="1270AA51" w:rsidR="006400D7" w:rsidRPr="00D35F78" w:rsidRDefault="006400D7" w:rsidP="006400D7">
    <w:pPr>
      <w:pStyle w:val="Footer"/>
    </w:pPr>
    <w:r w:rsidRPr="00D35F78">
      <w:t>Hobujaama 4</w:t>
    </w:r>
    <w:r w:rsidRPr="00D35F78">
      <w:tab/>
    </w:r>
    <w:r w:rsidR="002C5069" w:rsidRPr="00D35F78">
      <w:tab/>
      <w:t>reg nr: 80004437</w:t>
    </w:r>
  </w:p>
  <w:p w14:paraId="361CAC7F" w14:textId="74C037DE" w:rsidR="00423E2B" w:rsidRPr="00D35F78" w:rsidRDefault="006400D7" w:rsidP="006400D7">
    <w:pPr>
      <w:pStyle w:val="Footer"/>
    </w:pPr>
    <w:r w:rsidRPr="00D35F78">
      <w:t>10151 Tallinn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E2C8" w14:textId="77777777" w:rsidR="00256BA9" w:rsidRPr="00D35F78" w:rsidRDefault="00256BA9">
      <w:pPr>
        <w:spacing w:after="0" w:line="240" w:lineRule="auto"/>
      </w:pPr>
      <w:r w:rsidRPr="00D35F78">
        <w:separator/>
      </w:r>
    </w:p>
  </w:footnote>
  <w:footnote w:type="continuationSeparator" w:id="0">
    <w:p w14:paraId="158AB71B" w14:textId="77777777" w:rsidR="00256BA9" w:rsidRPr="00D35F78" w:rsidRDefault="00256BA9">
      <w:pPr>
        <w:spacing w:after="0" w:line="240" w:lineRule="auto"/>
      </w:pPr>
      <w:r w:rsidRPr="00D35F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894" w14:textId="77777777" w:rsidR="00423E2B" w:rsidRPr="00D35F78" w:rsidRDefault="00423E2B" w:rsidP="00095EC9">
    <w:pPr>
      <w:pStyle w:val="Header"/>
      <w:jc w:val="center"/>
      <w:rPr>
        <w:lang w:val="et-EE"/>
        <w:rPrChange w:id="0" w:author="Laur Saar" w:date="2024-06-21T12:05:00Z">
          <w:rPr/>
        </w:rPrChang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4BD7" w14:textId="77777777" w:rsidR="00423E2B" w:rsidRPr="00D35F78" w:rsidRDefault="00423E2B" w:rsidP="00DD0F9F">
    <w:pPr>
      <w:pStyle w:val="Header"/>
      <w:tabs>
        <w:tab w:val="clear" w:pos="9406"/>
        <w:tab w:val="right" w:pos="8627"/>
      </w:tabs>
      <w:jc w:val="right"/>
      <w:rPr>
        <w:lang w:val="et-EE"/>
        <w:rPrChange w:id="1" w:author="Laur Saar" w:date="2024-06-21T12:05:00Z">
          <w:rPr/>
        </w:rPrChange>
      </w:rPr>
    </w:pPr>
    <w:r w:rsidRPr="00D35F78">
      <w:rPr>
        <w:noProof/>
        <w:lang w:val="et-EE" w:eastAsia="en-US"/>
        <w:rPrChange w:id="2" w:author="Laur Saar" w:date="2024-06-21T12:05:00Z">
          <w:rPr>
            <w:noProof/>
            <w:lang w:eastAsia="en-US"/>
          </w:rPr>
        </w:rPrChange>
      </w:rPr>
      <w:drawing>
        <wp:inline distT="0" distB="0" distL="0" distR="0" wp14:anchorId="447C2AA7" wp14:editId="7BE79209">
          <wp:extent cx="2289810" cy="36576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2289810" cy="3657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74"/>
    <w:multiLevelType w:val="multilevel"/>
    <w:tmpl w:val="885A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D4B34"/>
    <w:multiLevelType w:val="hybridMultilevel"/>
    <w:tmpl w:val="81180F56"/>
    <w:lvl w:ilvl="0" w:tplc="CA7E00DC">
      <w:numFmt w:val="bullet"/>
      <w:lvlText w:val="-"/>
      <w:lvlJc w:val="left"/>
      <w:pPr>
        <w:ind w:left="360" w:hanging="360"/>
      </w:pPr>
      <w:rPr>
        <w:rFonts w:ascii="Calibri" w:eastAsia="Calibri" w:hAnsi="Calibri" w:cs="Calibri" w:hint="default"/>
      </w:rPr>
    </w:lvl>
    <w:lvl w:ilvl="1" w:tplc="C67065D0">
      <w:numFmt w:val="bullet"/>
      <w:lvlText w:val="•"/>
      <w:lvlJc w:val="left"/>
      <w:pPr>
        <w:ind w:left="1080" w:hanging="360"/>
      </w:pPr>
      <w:rPr>
        <w:rFonts w:ascii="Calibri" w:eastAsia="Calibri" w:hAnsi="Calibri" w:cs="Calibri"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10A71E9"/>
    <w:multiLevelType w:val="hybridMultilevel"/>
    <w:tmpl w:val="854C201A"/>
    <w:styleLink w:val="ImportedStyle3"/>
    <w:lvl w:ilvl="0" w:tplc="05D4F1B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044EA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CAB5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02CBA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E89F4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40030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CF27A">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F626C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6B69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BA5C6D"/>
    <w:multiLevelType w:val="hybridMultilevel"/>
    <w:tmpl w:val="419C847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53D7726"/>
    <w:multiLevelType w:val="hybridMultilevel"/>
    <w:tmpl w:val="9FC24F0E"/>
    <w:numStyleLink w:val="ImportedStyle2"/>
  </w:abstractNum>
  <w:abstractNum w:abstractNumId="5" w15:restartNumberingAfterBreak="0">
    <w:nsid w:val="166608C6"/>
    <w:multiLevelType w:val="multilevel"/>
    <w:tmpl w:val="9B80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74E68"/>
    <w:multiLevelType w:val="hybridMultilevel"/>
    <w:tmpl w:val="FEE6464A"/>
    <w:numStyleLink w:val="ImportedStyle1"/>
  </w:abstractNum>
  <w:abstractNum w:abstractNumId="7" w15:restartNumberingAfterBreak="0">
    <w:nsid w:val="202314F6"/>
    <w:multiLevelType w:val="hybridMultilevel"/>
    <w:tmpl w:val="99AE50F8"/>
    <w:lvl w:ilvl="0" w:tplc="CA7E00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E853F1"/>
    <w:multiLevelType w:val="hybridMultilevel"/>
    <w:tmpl w:val="87309FBC"/>
    <w:numStyleLink w:val="ImportedStyle4"/>
  </w:abstractNum>
  <w:abstractNum w:abstractNumId="9" w15:restartNumberingAfterBreak="0">
    <w:nsid w:val="297A6B51"/>
    <w:multiLevelType w:val="multilevel"/>
    <w:tmpl w:val="7CA6912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D5743"/>
    <w:multiLevelType w:val="multilevel"/>
    <w:tmpl w:val="CCA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E4F86"/>
    <w:multiLevelType w:val="hybridMultilevel"/>
    <w:tmpl w:val="0B9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00089"/>
    <w:multiLevelType w:val="hybridMultilevel"/>
    <w:tmpl w:val="854C201A"/>
    <w:numStyleLink w:val="ImportedStyle3"/>
  </w:abstractNum>
  <w:abstractNum w:abstractNumId="13" w15:restartNumberingAfterBreak="0">
    <w:nsid w:val="39E82FE0"/>
    <w:multiLevelType w:val="hybridMultilevel"/>
    <w:tmpl w:val="9FC24F0E"/>
    <w:styleLink w:val="ImportedStyle2"/>
    <w:lvl w:ilvl="0" w:tplc="41AE0DAA">
      <w:start w:val="1"/>
      <w:numFmt w:val="decimal"/>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C9CF6">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94F2C2">
      <w:start w:val="1"/>
      <w:numFmt w:val="lowerRoman"/>
      <w:lvlText w:val="%3."/>
      <w:lvlJc w:val="left"/>
      <w:pPr>
        <w:ind w:left="178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0FC04">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CE2970">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82950">
      <w:start w:val="1"/>
      <w:numFmt w:val="lowerRoman"/>
      <w:lvlText w:val="%6."/>
      <w:lvlJc w:val="left"/>
      <w:pPr>
        <w:ind w:left="394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4F65E">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D28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2A1A">
      <w:start w:val="1"/>
      <w:numFmt w:val="lowerRoman"/>
      <w:lvlText w:val="%9."/>
      <w:lvlJc w:val="left"/>
      <w:pPr>
        <w:ind w:left="610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BD87EA0"/>
    <w:multiLevelType w:val="hybridMultilevel"/>
    <w:tmpl w:val="7A4AD77A"/>
    <w:lvl w:ilvl="0" w:tplc="B6382936">
      <w:start w:val="5"/>
      <w:numFmt w:val="bullet"/>
      <w:lvlText w:val="-"/>
      <w:lvlJc w:val="left"/>
      <w:pPr>
        <w:ind w:left="720" w:hanging="360"/>
      </w:pPr>
      <w:rPr>
        <w:rFonts w:ascii="Calibri" w:eastAsia="Times New Roman" w:hAnsi="Calibri"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41AF9"/>
    <w:multiLevelType w:val="hybridMultilevel"/>
    <w:tmpl w:val="CEF2A974"/>
    <w:lvl w:ilvl="0" w:tplc="31A637B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3A01C80"/>
    <w:multiLevelType w:val="multilevel"/>
    <w:tmpl w:val="335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6D1917"/>
    <w:multiLevelType w:val="hybridMultilevel"/>
    <w:tmpl w:val="574A226E"/>
    <w:lvl w:ilvl="0" w:tplc="EC8AF81A">
      <w:start w:val="1"/>
      <w:numFmt w:val="bullet"/>
      <w:lvlText w:val=""/>
      <w:lvlJc w:val="left"/>
      <w:pPr>
        <w:ind w:left="785"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AAD65C">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4EFD54">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DEE30C">
      <w:start w:val="1"/>
      <w:numFmt w:val="bullet"/>
      <w:lvlText w:val="•"/>
      <w:lvlJc w:val="left"/>
      <w:pPr>
        <w:ind w:left="29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8D276">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63B0C">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642A8">
      <w:start w:val="1"/>
      <w:numFmt w:val="bullet"/>
      <w:lvlText w:val="•"/>
      <w:lvlJc w:val="left"/>
      <w:pPr>
        <w:ind w:left="51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1ABB6C">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12F5F6">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604229E"/>
    <w:multiLevelType w:val="hybridMultilevel"/>
    <w:tmpl w:val="950C51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C306FB7"/>
    <w:multiLevelType w:val="hybridMultilevel"/>
    <w:tmpl w:val="276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B6BF9"/>
    <w:multiLevelType w:val="hybridMultilevel"/>
    <w:tmpl w:val="EE5A768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6AF334DD"/>
    <w:multiLevelType w:val="hybridMultilevel"/>
    <w:tmpl w:val="87309FBC"/>
    <w:styleLink w:val="ImportedStyle4"/>
    <w:lvl w:ilvl="0" w:tplc="6E201BB2">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7E2E7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1E266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56C51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CC14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1EC60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23D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2F1D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6FCA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2A59DA"/>
    <w:multiLevelType w:val="hybridMultilevel"/>
    <w:tmpl w:val="AD80B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C650FB"/>
    <w:multiLevelType w:val="multilevel"/>
    <w:tmpl w:val="F536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527B8"/>
    <w:multiLevelType w:val="hybridMultilevel"/>
    <w:tmpl w:val="E68E6F36"/>
    <w:lvl w:ilvl="0" w:tplc="F74E2396">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DCF4E8B"/>
    <w:multiLevelType w:val="hybridMultilevel"/>
    <w:tmpl w:val="FEE6464A"/>
    <w:styleLink w:val="ImportedStyle1"/>
    <w:lvl w:ilvl="0" w:tplc="D3F06038">
      <w:start w:val="1"/>
      <w:numFmt w:val="upperRoman"/>
      <w:lvlText w:val="%1."/>
      <w:lvlJc w:val="left"/>
      <w:pPr>
        <w:ind w:left="851" w:hanging="8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0ED566">
      <w:start w:val="1"/>
      <w:numFmt w:val="lowerLetter"/>
      <w:lvlText w:val="%2."/>
      <w:lvlJc w:val="left"/>
      <w:pPr>
        <w:ind w:left="12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2E9F0">
      <w:start w:val="1"/>
      <w:numFmt w:val="lowerRoman"/>
      <w:lvlText w:val="%3."/>
      <w:lvlJc w:val="left"/>
      <w:pPr>
        <w:ind w:left="193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8AC4A">
      <w:start w:val="1"/>
      <w:numFmt w:val="decimal"/>
      <w:lvlText w:val="%4."/>
      <w:lvlJc w:val="left"/>
      <w:pPr>
        <w:ind w:left="265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8511E">
      <w:start w:val="1"/>
      <w:numFmt w:val="lowerLetter"/>
      <w:lvlText w:val="%5."/>
      <w:lvlJc w:val="left"/>
      <w:pPr>
        <w:ind w:left="337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24210">
      <w:start w:val="1"/>
      <w:numFmt w:val="lowerRoman"/>
      <w:lvlText w:val="%6."/>
      <w:lvlJc w:val="left"/>
      <w:pPr>
        <w:ind w:left="409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6A784">
      <w:start w:val="1"/>
      <w:numFmt w:val="decimal"/>
      <w:lvlText w:val="%7."/>
      <w:lvlJc w:val="left"/>
      <w:pPr>
        <w:ind w:left="48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AD8DA">
      <w:start w:val="1"/>
      <w:numFmt w:val="lowerLetter"/>
      <w:lvlText w:val="%8."/>
      <w:lvlJc w:val="left"/>
      <w:pPr>
        <w:ind w:left="553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8C9E0">
      <w:start w:val="1"/>
      <w:numFmt w:val="lowerRoman"/>
      <w:lvlText w:val="%9."/>
      <w:lvlJc w:val="left"/>
      <w:pPr>
        <w:ind w:left="625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21140B"/>
    <w:multiLevelType w:val="hybridMultilevel"/>
    <w:tmpl w:val="232E0290"/>
    <w:lvl w:ilvl="0" w:tplc="EC8AF81A">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C41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FEBA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8C7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AA8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88F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06CF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4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B469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75340254">
    <w:abstractNumId w:val="25"/>
  </w:num>
  <w:num w:numId="2" w16cid:durableId="943079888">
    <w:abstractNumId w:val="6"/>
  </w:num>
  <w:num w:numId="3" w16cid:durableId="1748190628">
    <w:abstractNumId w:val="13"/>
  </w:num>
  <w:num w:numId="4" w16cid:durableId="1225094709">
    <w:abstractNumId w:val="4"/>
  </w:num>
  <w:num w:numId="5" w16cid:durableId="336662591">
    <w:abstractNumId w:val="2"/>
  </w:num>
  <w:num w:numId="6" w16cid:durableId="1280987564">
    <w:abstractNumId w:val="12"/>
  </w:num>
  <w:num w:numId="7" w16cid:durableId="1126504976">
    <w:abstractNumId w:val="4"/>
    <w:lvlOverride w:ilvl="0">
      <w:startOverride w:val="2"/>
    </w:lvlOverride>
  </w:num>
  <w:num w:numId="8" w16cid:durableId="1991328725">
    <w:abstractNumId w:val="21"/>
  </w:num>
  <w:num w:numId="9" w16cid:durableId="247538977">
    <w:abstractNumId w:val="8"/>
  </w:num>
  <w:num w:numId="10" w16cid:durableId="1436095343">
    <w:abstractNumId w:val="4"/>
    <w:lvlOverride w:ilvl="0">
      <w:startOverride w:val="3"/>
    </w:lvlOverride>
  </w:num>
  <w:num w:numId="11" w16cid:durableId="1318655368">
    <w:abstractNumId w:val="6"/>
    <w:lvlOverride w:ilvl="0">
      <w:startOverride w:val="2"/>
    </w:lvlOverride>
  </w:num>
  <w:num w:numId="12" w16cid:durableId="124395877">
    <w:abstractNumId w:val="17"/>
  </w:num>
  <w:num w:numId="13" w16cid:durableId="210771902">
    <w:abstractNumId w:val="26"/>
  </w:num>
  <w:num w:numId="14" w16cid:durableId="1932348408">
    <w:abstractNumId w:val="14"/>
  </w:num>
  <w:num w:numId="15" w16cid:durableId="735477062">
    <w:abstractNumId w:val="11"/>
  </w:num>
  <w:num w:numId="16" w16cid:durableId="742025686">
    <w:abstractNumId w:val="22"/>
  </w:num>
  <w:num w:numId="17" w16cid:durableId="988947982">
    <w:abstractNumId w:val="1"/>
  </w:num>
  <w:num w:numId="18" w16cid:durableId="436215467">
    <w:abstractNumId w:val="7"/>
  </w:num>
  <w:num w:numId="19" w16cid:durableId="1484277669">
    <w:abstractNumId w:val="23"/>
  </w:num>
  <w:num w:numId="20" w16cid:durableId="891503886">
    <w:abstractNumId w:val="5"/>
  </w:num>
  <w:num w:numId="21" w16cid:durableId="274755286">
    <w:abstractNumId w:val="20"/>
  </w:num>
  <w:num w:numId="22" w16cid:durableId="1104576148">
    <w:abstractNumId w:val="3"/>
  </w:num>
  <w:num w:numId="23" w16cid:durableId="751390537">
    <w:abstractNumId w:val="15"/>
  </w:num>
  <w:num w:numId="24" w16cid:durableId="1777627520">
    <w:abstractNumId w:val="19"/>
  </w:num>
  <w:num w:numId="25" w16cid:durableId="1529759955">
    <w:abstractNumId w:val="24"/>
  </w:num>
  <w:num w:numId="26" w16cid:durableId="18817612">
    <w:abstractNumId w:val="18"/>
  </w:num>
  <w:num w:numId="27" w16cid:durableId="483742191">
    <w:abstractNumId w:val="10"/>
  </w:num>
  <w:num w:numId="28" w16cid:durableId="836925933">
    <w:abstractNumId w:val="0"/>
  </w:num>
  <w:num w:numId="29" w16cid:durableId="967473013">
    <w:abstractNumId w:val="16"/>
  </w:num>
  <w:num w:numId="30" w16cid:durableId="10639176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 Saar">
    <w15:presenceInfo w15:providerId="None" w15:userId="Laur S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E7"/>
    <w:rsid w:val="00010880"/>
    <w:rsid w:val="000109E1"/>
    <w:rsid w:val="00016438"/>
    <w:rsid w:val="00021520"/>
    <w:rsid w:val="000308A2"/>
    <w:rsid w:val="00046FB1"/>
    <w:rsid w:val="000549B5"/>
    <w:rsid w:val="000949F4"/>
    <w:rsid w:val="00095EC9"/>
    <w:rsid w:val="000B48E4"/>
    <w:rsid w:val="000B719F"/>
    <w:rsid w:val="000C112D"/>
    <w:rsid w:val="000C1CB1"/>
    <w:rsid w:val="000C3A2E"/>
    <w:rsid w:val="000D0817"/>
    <w:rsid w:val="000D1358"/>
    <w:rsid w:val="000E13A5"/>
    <w:rsid w:val="000E4B92"/>
    <w:rsid w:val="000E774C"/>
    <w:rsid w:val="000F3241"/>
    <w:rsid w:val="00104DA7"/>
    <w:rsid w:val="00113242"/>
    <w:rsid w:val="00123C79"/>
    <w:rsid w:val="001259D4"/>
    <w:rsid w:val="001341FE"/>
    <w:rsid w:val="00141C22"/>
    <w:rsid w:val="00157B3A"/>
    <w:rsid w:val="0016185D"/>
    <w:rsid w:val="00167776"/>
    <w:rsid w:val="001705E7"/>
    <w:rsid w:val="00184A20"/>
    <w:rsid w:val="001D3F01"/>
    <w:rsid w:val="00200025"/>
    <w:rsid w:val="00202F7C"/>
    <w:rsid w:val="00210D1B"/>
    <w:rsid w:val="002128CF"/>
    <w:rsid w:val="00214760"/>
    <w:rsid w:val="0024681A"/>
    <w:rsid w:val="002550E6"/>
    <w:rsid w:val="00256BA9"/>
    <w:rsid w:val="00257524"/>
    <w:rsid w:val="00265FCD"/>
    <w:rsid w:val="00276A30"/>
    <w:rsid w:val="00277032"/>
    <w:rsid w:val="00284310"/>
    <w:rsid w:val="00287FA0"/>
    <w:rsid w:val="00293387"/>
    <w:rsid w:val="002B0518"/>
    <w:rsid w:val="002B4114"/>
    <w:rsid w:val="002B4324"/>
    <w:rsid w:val="002C3FE2"/>
    <w:rsid w:val="002C447D"/>
    <w:rsid w:val="002C5069"/>
    <w:rsid w:val="002C583B"/>
    <w:rsid w:val="002D7DEE"/>
    <w:rsid w:val="00300144"/>
    <w:rsid w:val="00300EFC"/>
    <w:rsid w:val="00326D8D"/>
    <w:rsid w:val="003332E7"/>
    <w:rsid w:val="00335A32"/>
    <w:rsid w:val="00336B1B"/>
    <w:rsid w:val="003378C4"/>
    <w:rsid w:val="0034052C"/>
    <w:rsid w:val="00342A0A"/>
    <w:rsid w:val="00364060"/>
    <w:rsid w:val="00370CDD"/>
    <w:rsid w:val="00372521"/>
    <w:rsid w:val="003754F6"/>
    <w:rsid w:val="0038719D"/>
    <w:rsid w:val="00390AC9"/>
    <w:rsid w:val="00392DEF"/>
    <w:rsid w:val="003A2A37"/>
    <w:rsid w:val="003A5748"/>
    <w:rsid w:val="003A7464"/>
    <w:rsid w:val="003B4261"/>
    <w:rsid w:val="003B5F27"/>
    <w:rsid w:val="003E2D8B"/>
    <w:rsid w:val="003E5AD5"/>
    <w:rsid w:val="003E697D"/>
    <w:rsid w:val="003F6344"/>
    <w:rsid w:val="00411E0A"/>
    <w:rsid w:val="0041214F"/>
    <w:rsid w:val="00420B72"/>
    <w:rsid w:val="00422848"/>
    <w:rsid w:val="00423E2B"/>
    <w:rsid w:val="00454086"/>
    <w:rsid w:val="00454534"/>
    <w:rsid w:val="00471052"/>
    <w:rsid w:val="00484EF9"/>
    <w:rsid w:val="00486439"/>
    <w:rsid w:val="0049260D"/>
    <w:rsid w:val="00497C7D"/>
    <w:rsid w:val="004A00FF"/>
    <w:rsid w:val="004A4137"/>
    <w:rsid w:val="004E1612"/>
    <w:rsid w:val="004E4660"/>
    <w:rsid w:val="004E4FA9"/>
    <w:rsid w:val="004F0790"/>
    <w:rsid w:val="004F105D"/>
    <w:rsid w:val="004F4952"/>
    <w:rsid w:val="005031A9"/>
    <w:rsid w:val="00513A8B"/>
    <w:rsid w:val="00517536"/>
    <w:rsid w:val="005249AE"/>
    <w:rsid w:val="00551B1F"/>
    <w:rsid w:val="005856CE"/>
    <w:rsid w:val="00585D26"/>
    <w:rsid w:val="00587C01"/>
    <w:rsid w:val="005A764B"/>
    <w:rsid w:val="005A7A7F"/>
    <w:rsid w:val="005B4356"/>
    <w:rsid w:val="005D0544"/>
    <w:rsid w:val="005F2334"/>
    <w:rsid w:val="005F3A42"/>
    <w:rsid w:val="00617EF7"/>
    <w:rsid w:val="006214E1"/>
    <w:rsid w:val="00632305"/>
    <w:rsid w:val="00635457"/>
    <w:rsid w:val="006400D7"/>
    <w:rsid w:val="00640551"/>
    <w:rsid w:val="00641518"/>
    <w:rsid w:val="0065640C"/>
    <w:rsid w:val="00665E32"/>
    <w:rsid w:val="0067557E"/>
    <w:rsid w:val="00683B96"/>
    <w:rsid w:val="006852DD"/>
    <w:rsid w:val="00686B48"/>
    <w:rsid w:val="006A4D2F"/>
    <w:rsid w:val="006A57F9"/>
    <w:rsid w:val="006A5E07"/>
    <w:rsid w:val="006B00E9"/>
    <w:rsid w:val="006B029A"/>
    <w:rsid w:val="006B4ACF"/>
    <w:rsid w:val="006D464E"/>
    <w:rsid w:val="006F0384"/>
    <w:rsid w:val="006F2788"/>
    <w:rsid w:val="00701379"/>
    <w:rsid w:val="007053F0"/>
    <w:rsid w:val="0075750E"/>
    <w:rsid w:val="007657F4"/>
    <w:rsid w:val="00767E02"/>
    <w:rsid w:val="00771580"/>
    <w:rsid w:val="00773F09"/>
    <w:rsid w:val="00780B48"/>
    <w:rsid w:val="00783EF0"/>
    <w:rsid w:val="00790041"/>
    <w:rsid w:val="00796E5C"/>
    <w:rsid w:val="007A6C51"/>
    <w:rsid w:val="007C04EC"/>
    <w:rsid w:val="007C06B2"/>
    <w:rsid w:val="007E3755"/>
    <w:rsid w:val="00803E23"/>
    <w:rsid w:val="00831C2B"/>
    <w:rsid w:val="00841BF6"/>
    <w:rsid w:val="0084206B"/>
    <w:rsid w:val="00850C3E"/>
    <w:rsid w:val="008551A3"/>
    <w:rsid w:val="0085590F"/>
    <w:rsid w:val="00857366"/>
    <w:rsid w:val="008658B1"/>
    <w:rsid w:val="008950EA"/>
    <w:rsid w:val="008979B8"/>
    <w:rsid w:val="008A1FA5"/>
    <w:rsid w:val="008B26CC"/>
    <w:rsid w:val="008C2C77"/>
    <w:rsid w:val="008D654C"/>
    <w:rsid w:val="008E7156"/>
    <w:rsid w:val="009128EC"/>
    <w:rsid w:val="009129D4"/>
    <w:rsid w:val="00913312"/>
    <w:rsid w:val="0091401A"/>
    <w:rsid w:val="00922BB0"/>
    <w:rsid w:val="00925C79"/>
    <w:rsid w:val="00940CE3"/>
    <w:rsid w:val="00942394"/>
    <w:rsid w:val="0094675C"/>
    <w:rsid w:val="0095548D"/>
    <w:rsid w:val="00967B61"/>
    <w:rsid w:val="009B49AB"/>
    <w:rsid w:val="009B54EA"/>
    <w:rsid w:val="009C3105"/>
    <w:rsid w:val="009C4CD5"/>
    <w:rsid w:val="009E6137"/>
    <w:rsid w:val="00A03BBF"/>
    <w:rsid w:val="00A05507"/>
    <w:rsid w:val="00A103CF"/>
    <w:rsid w:val="00A3510B"/>
    <w:rsid w:val="00A63747"/>
    <w:rsid w:val="00A64655"/>
    <w:rsid w:val="00A65389"/>
    <w:rsid w:val="00A91B36"/>
    <w:rsid w:val="00A92B32"/>
    <w:rsid w:val="00A93F12"/>
    <w:rsid w:val="00AA1603"/>
    <w:rsid w:val="00AA54BB"/>
    <w:rsid w:val="00AA7DBD"/>
    <w:rsid w:val="00AA7FF8"/>
    <w:rsid w:val="00AB6309"/>
    <w:rsid w:val="00AB75CB"/>
    <w:rsid w:val="00AE275D"/>
    <w:rsid w:val="00AF6B8F"/>
    <w:rsid w:val="00B037BE"/>
    <w:rsid w:val="00B12609"/>
    <w:rsid w:val="00B30C43"/>
    <w:rsid w:val="00B40CFD"/>
    <w:rsid w:val="00B44409"/>
    <w:rsid w:val="00B5330E"/>
    <w:rsid w:val="00B557E5"/>
    <w:rsid w:val="00B637A2"/>
    <w:rsid w:val="00B72060"/>
    <w:rsid w:val="00B8375F"/>
    <w:rsid w:val="00B87F53"/>
    <w:rsid w:val="00B92A13"/>
    <w:rsid w:val="00B92D33"/>
    <w:rsid w:val="00BA0354"/>
    <w:rsid w:val="00BA2B7B"/>
    <w:rsid w:val="00BA7562"/>
    <w:rsid w:val="00BA77CE"/>
    <w:rsid w:val="00BB25D9"/>
    <w:rsid w:val="00BB25FF"/>
    <w:rsid w:val="00BB3F96"/>
    <w:rsid w:val="00BB7D04"/>
    <w:rsid w:val="00BC6BCA"/>
    <w:rsid w:val="00BE7295"/>
    <w:rsid w:val="00BE7AFD"/>
    <w:rsid w:val="00C03C70"/>
    <w:rsid w:val="00C041BB"/>
    <w:rsid w:val="00C06D8F"/>
    <w:rsid w:val="00C073D8"/>
    <w:rsid w:val="00C101AD"/>
    <w:rsid w:val="00C202E3"/>
    <w:rsid w:val="00C35502"/>
    <w:rsid w:val="00C43055"/>
    <w:rsid w:val="00C610A7"/>
    <w:rsid w:val="00C62D8B"/>
    <w:rsid w:val="00C73E2C"/>
    <w:rsid w:val="00C75D49"/>
    <w:rsid w:val="00C8525A"/>
    <w:rsid w:val="00CB285E"/>
    <w:rsid w:val="00CB2A2E"/>
    <w:rsid w:val="00CC2588"/>
    <w:rsid w:val="00CD7253"/>
    <w:rsid w:val="00CE2E62"/>
    <w:rsid w:val="00CE31E3"/>
    <w:rsid w:val="00CE7A61"/>
    <w:rsid w:val="00D13037"/>
    <w:rsid w:val="00D13075"/>
    <w:rsid w:val="00D3124D"/>
    <w:rsid w:val="00D33C17"/>
    <w:rsid w:val="00D35F78"/>
    <w:rsid w:val="00D44C48"/>
    <w:rsid w:val="00D50E6C"/>
    <w:rsid w:val="00D56E94"/>
    <w:rsid w:val="00D62546"/>
    <w:rsid w:val="00D660E7"/>
    <w:rsid w:val="00D671CE"/>
    <w:rsid w:val="00D7185B"/>
    <w:rsid w:val="00D93AC8"/>
    <w:rsid w:val="00DA00E0"/>
    <w:rsid w:val="00DB335E"/>
    <w:rsid w:val="00DB7AB2"/>
    <w:rsid w:val="00DC01E7"/>
    <w:rsid w:val="00DC149E"/>
    <w:rsid w:val="00DC2B41"/>
    <w:rsid w:val="00DD0F9F"/>
    <w:rsid w:val="00DD4ED0"/>
    <w:rsid w:val="00DD5E5D"/>
    <w:rsid w:val="00DD6362"/>
    <w:rsid w:val="00DF7158"/>
    <w:rsid w:val="00E020F5"/>
    <w:rsid w:val="00E02BB8"/>
    <w:rsid w:val="00E142C2"/>
    <w:rsid w:val="00E2547E"/>
    <w:rsid w:val="00E25D96"/>
    <w:rsid w:val="00E311B8"/>
    <w:rsid w:val="00E43F14"/>
    <w:rsid w:val="00E553C9"/>
    <w:rsid w:val="00E56727"/>
    <w:rsid w:val="00E6183D"/>
    <w:rsid w:val="00E61E8A"/>
    <w:rsid w:val="00E72F74"/>
    <w:rsid w:val="00E77FE1"/>
    <w:rsid w:val="00E839D8"/>
    <w:rsid w:val="00EA5A88"/>
    <w:rsid w:val="00F17137"/>
    <w:rsid w:val="00F20151"/>
    <w:rsid w:val="00F267C2"/>
    <w:rsid w:val="00F602E0"/>
    <w:rsid w:val="00F616EE"/>
    <w:rsid w:val="00F87067"/>
    <w:rsid w:val="00F87D9D"/>
    <w:rsid w:val="00F932F8"/>
    <w:rsid w:val="00FA10FE"/>
    <w:rsid w:val="00FA179E"/>
    <w:rsid w:val="00FB47F0"/>
    <w:rsid w:val="00FF45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F0B9"/>
  <w15:docId w15:val="{E1E10531-965F-9347-9B5C-2EC74FF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54"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A">
    <w:name w:val="None A"/>
  </w:style>
  <w:style w:type="character" w:customStyle="1" w:styleId="Hyperlink0">
    <w:name w:val="Hyperlink.0"/>
    <w:basedOn w:val="NoneA"/>
    <w:rPr>
      <w:color w:val="0000FF"/>
      <w:u w:val="single" w:color="0000FF"/>
      <w:lang w:val="en-US"/>
    </w:rPr>
  </w:style>
  <w:style w:type="paragraph" w:styleId="Header">
    <w:name w:val="header"/>
    <w:pPr>
      <w:tabs>
        <w:tab w:val="center" w:pos="4703"/>
        <w:tab w:val="right" w:pos="9406"/>
      </w:tabs>
      <w:suppressAutoHyphens/>
      <w:spacing w:after="160" w:line="254" w:lineRule="auto"/>
    </w:pPr>
    <w:rPr>
      <w:rFonts w:eastAsia="Times New Roman"/>
      <w:color w:val="000000"/>
      <w:sz w:val="24"/>
      <w:szCs w:val="24"/>
      <w:u w:color="000000"/>
      <w:lang w:val="en-US"/>
    </w:rPr>
  </w:style>
  <w:style w:type="paragraph" w:styleId="PlainText">
    <w:name w:val="Plain Text"/>
    <w:pPr>
      <w:suppressAutoHyphens/>
      <w:spacing w:after="160" w:line="254" w:lineRule="auto"/>
    </w:pPr>
    <w:rPr>
      <w:rFonts w:ascii="Calibri" w:eastAsia="Calibri" w:hAnsi="Calibri" w:cs="Calibri"/>
      <w:color w:val="000000"/>
      <w:sz w:val="22"/>
      <w:szCs w:val="22"/>
      <w:u w:color="000000"/>
    </w:rPr>
  </w:style>
  <w:style w:type="paragraph" w:customStyle="1" w:styleId="Default">
    <w:name w:val="Default"/>
    <w:pPr>
      <w:suppressAutoHyphens/>
      <w:spacing w:after="160" w:line="254" w:lineRule="auto"/>
    </w:pPr>
    <w:rPr>
      <w:rFonts w:ascii="Calibri" w:eastAsia="Calibri" w:hAnsi="Calibri" w:cs="Calibri"/>
      <w:color w:val="000000"/>
      <w:sz w:val="24"/>
      <w:szCs w:val="24"/>
      <w:u w:color="000000"/>
    </w:rPr>
  </w:style>
  <w:style w:type="paragraph" w:styleId="ListParagraph">
    <w:name w:val="List Paragraph"/>
    <w:link w:val="ListParagraphChar"/>
    <w:uiPriority w:val="34"/>
    <w:qFormat/>
    <w:pPr>
      <w:suppressAutoHyphens/>
      <w:spacing w:after="160" w:line="254" w:lineRule="auto"/>
      <w:ind w:left="720"/>
    </w:pPr>
    <w:rPr>
      <w:rFonts w:ascii="Calibri" w:eastAsia="Calibri" w:hAnsi="Calibri" w:cs="Calibri"/>
      <w:color w:val="000000"/>
      <w:sz w:val="22"/>
      <w:szCs w:val="22"/>
      <w:u w:color="000000"/>
      <w:lang w:val="en-US"/>
    </w:rPr>
  </w:style>
  <w:style w:type="paragraph" w:customStyle="1" w:styleId="CommentText1">
    <w:name w:val="Comment Text1"/>
    <w:pPr>
      <w:suppressAutoHyphens/>
      <w:spacing w:after="160" w:line="254" w:lineRule="auto"/>
    </w:pPr>
    <w:rPr>
      <w:rFonts w:cs="Arial Unicode MS"/>
      <w:color w:val="000000"/>
      <w:u w:color="000000"/>
    </w:rPr>
  </w:style>
  <w:style w:type="paragraph" w:styleId="Footer">
    <w:name w:val="footer"/>
    <w:basedOn w:val="Normal"/>
    <w:link w:val="FooterChar"/>
    <w:uiPriority w:val="99"/>
    <w:unhideWhenUsed/>
    <w:rsid w:val="005D05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0544"/>
    <w:rPr>
      <w:rFonts w:ascii="Calibri" w:eastAsia="Calibri" w:hAnsi="Calibri" w:cs="Calibri"/>
      <w:color w:val="000000"/>
      <w:sz w:val="22"/>
      <w:szCs w:val="22"/>
      <w:u w:color="000000"/>
    </w:rPr>
  </w:style>
  <w:style w:type="paragraph" w:styleId="NoSpacing">
    <w:name w:val="No Spacing"/>
    <w:rsid w:val="00016438"/>
    <w:rPr>
      <w:rFonts w:ascii="Calibri" w:eastAsia="Calibri" w:hAnsi="Calibri" w:cs="Calibri"/>
      <w:color w:val="000000"/>
      <w:sz w:val="22"/>
      <w:szCs w:val="22"/>
      <w:u w:color="000000"/>
      <w:lang w:val="en-US" w:eastAsia="en-US"/>
    </w:rPr>
  </w:style>
  <w:style w:type="numbering" w:customStyle="1" w:styleId="ImportedStyle1">
    <w:name w:val="Imported Style 1"/>
    <w:rsid w:val="00016438"/>
    <w:pPr>
      <w:numPr>
        <w:numId w:val="1"/>
      </w:numPr>
    </w:pPr>
  </w:style>
  <w:style w:type="paragraph" w:styleId="FootnoteText">
    <w:name w:val="footnote text"/>
    <w:link w:val="FootnoteTextChar"/>
    <w:uiPriority w:val="99"/>
    <w:rsid w:val="00016438"/>
    <w:rPr>
      <w:rFonts w:ascii="Calibri" w:eastAsia="Calibri" w:hAnsi="Calibri" w:cs="Calibri"/>
      <w:color w:val="000000"/>
      <w:u w:color="000000"/>
      <w:lang w:val="en-US" w:eastAsia="en-US"/>
    </w:rPr>
  </w:style>
  <w:style w:type="character" w:customStyle="1" w:styleId="FootnoteTextChar">
    <w:name w:val="Footnote Text Char"/>
    <w:basedOn w:val="DefaultParagraphFont"/>
    <w:link w:val="FootnoteText"/>
    <w:uiPriority w:val="99"/>
    <w:rsid w:val="00016438"/>
    <w:rPr>
      <w:rFonts w:ascii="Calibri" w:eastAsia="Calibri" w:hAnsi="Calibri" w:cs="Calibri"/>
      <w:color w:val="000000"/>
      <w:u w:color="000000"/>
      <w:lang w:val="en-US" w:eastAsia="en-US"/>
    </w:rPr>
  </w:style>
  <w:style w:type="numbering" w:customStyle="1" w:styleId="ImportedStyle2">
    <w:name w:val="Imported Style 2"/>
    <w:rsid w:val="00016438"/>
    <w:pPr>
      <w:numPr>
        <w:numId w:val="3"/>
      </w:numPr>
    </w:pPr>
  </w:style>
  <w:style w:type="numbering" w:customStyle="1" w:styleId="ImportedStyle3">
    <w:name w:val="Imported Style 3"/>
    <w:rsid w:val="00016438"/>
    <w:pPr>
      <w:numPr>
        <w:numId w:val="5"/>
      </w:numPr>
    </w:pPr>
  </w:style>
  <w:style w:type="numbering" w:customStyle="1" w:styleId="ImportedStyle4">
    <w:name w:val="Imported Style 4"/>
    <w:rsid w:val="00016438"/>
    <w:pPr>
      <w:numPr>
        <w:numId w:val="8"/>
      </w:numPr>
    </w:pPr>
  </w:style>
  <w:style w:type="paragraph" w:customStyle="1" w:styleId="Body">
    <w:name w:val="Body"/>
    <w:rsid w:val="00016438"/>
    <w:pPr>
      <w:spacing w:after="200" w:line="276" w:lineRule="auto"/>
    </w:pPr>
    <w:rPr>
      <w:rFonts w:ascii="Calibri" w:eastAsia="Calibri" w:hAnsi="Calibri" w:cs="Calibri"/>
      <w:color w:val="000000"/>
      <w:sz w:val="22"/>
      <w:szCs w:val="22"/>
      <w:u w:color="000000"/>
      <w:lang w:val="en-US" w:eastAsia="en-US"/>
    </w:rPr>
  </w:style>
  <w:style w:type="paragraph" w:styleId="BalloonText">
    <w:name w:val="Balloon Text"/>
    <w:basedOn w:val="Normal"/>
    <w:link w:val="BalloonTextChar"/>
    <w:uiPriority w:val="99"/>
    <w:semiHidden/>
    <w:unhideWhenUsed/>
    <w:rsid w:val="008C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77"/>
    <w:rPr>
      <w:rFonts w:ascii="Tahoma" w:eastAsia="Calibri" w:hAnsi="Tahoma" w:cs="Tahoma"/>
      <w:color w:val="000000"/>
      <w:sz w:val="16"/>
      <w:szCs w:val="16"/>
      <w:u w:color="000000"/>
    </w:rPr>
  </w:style>
  <w:style w:type="table" w:customStyle="1" w:styleId="TableNormal2">
    <w:name w:val="Table Normal2"/>
    <w:rsid w:val="00A05507"/>
    <w:tblPr>
      <w:tblInd w:w="0" w:type="dxa"/>
      <w:tblCellMar>
        <w:top w:w="0" w:type="dxa"/>
        <w:left w:w="0" w:type="dxa"/>
        <w:bottom w:w="0" w:type="dxa"/>
        <w:right w:w="0" w:type="dxa"/>
      </w:tblCellMar>
    </w:tblPr>
  </w:style>
  <w:style w:type="character" w:styleId="FootnoteReference">
    <w:name w:val="footnote reference"/>
    <w:basedOn w:val="DefaultParagraphFont"/>
    <w:uiPriority w:val="99"/>
    <w:unhideWhenUsed/>
    <w:rsid w:val="00CD7253"/>
    <w:rPr>
      <w:vertAlign w:val="superscript"/>
    </w:rPr>
  </w:style>
  <w:style w:type="character" w:styleId="CommentReference">
    <w:name w:val="annotation reference"/>
    <w:basedOn w:val="DefaultParagraphFont"/>
    <w:uiPriority w:val="99"/>
    <w:semiHidden/>
    <w:unhideWhenUsed/>
    <w:rsid w:val="007A6C51"/>
    <w:rPr>
      <w:sz w:val="16"/>
      <w:szCs w:val="16"/>
    </w:rPr>
  </w:style>
  <w:style w:type="paragraph" w:styleId="CommentText">
    <w:name w:val="annotation text"/>
    <w:basedOn w:val="Normal"/>
    <w:link w:val="CommentTextChar"/>
    <w:uiPriority w:val="99"/>
    <w:semiHidden/>
    <w:unhideWhenUsed/>
    <w:rsid w:val="007A6C51"/>
    <w:pPr>
      <w:spacing w:line="240" w:lineRule="auto"/>
    </w:pPr>
    <w:rPr>
      <w:sz w:val="20"/>
      <w:szCs w:val="20"/>
    </w:rPr>
  </w:style>
  <w:style w:type="character" w:customStyle="1" w:styleId="CommentTextChar">
    <w:name w:val="Comment Text Char"/>
    <w:basedOn w:val="DefaultParagraphFont"/>
    <w:link w:val="CommentText"/>
    <w:uiPriority w:val="99"/>
    <w:semiHidden/>
    <w:rsid w:val="007A6C51"/>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7A6C51"/>
    <w:rPr>
      <w:b/>
      <w:bCs/>
    </w:rPr>
  </w:style>
  <w:style w:type="character" w:customStyle="1" w:styleId="CommentSubjectChar">
    <w:name w:val="Comment Subject Char"/>
    <w:basedOn w:val="CommentTextChar"/>
    <w:link w:val="CommentSubject"/>
    <w:uiPriority w:val="99"/>
    <w:semiHidden/>
    <w:rsid w:val="007A6C51"/>
    <w:rPr>
      <w:rFonts w:ascii="Calibri" w:eastAsia="Calibri" w:hAnsi="Calibri" w:cs="Calibri"/>
      <w:b/>
      <w:bCs/>
      <w:color w:val="000000"/>
      <w:u w:color="000000"/>
    </w:rPr>
  </w:style>
  <w:style w:type="character" w:customStyle="1" w:styleId="UnresolvedMention1">
    <w:name w:val="Unresolved Mention1"/>
    <w:basedOn w:val="DefaultParagraphFont"/>
    <w:uiPriority w:val="99"/>
    <w:semiHidden/>
    <w:unhideWhenUsed/>
    <w:rsid w:val="00E839D8"/>
    <w:rPr>
      <w:color w:val="605E5C"/>
      <w:shd w:val="clear" w:color="auto" w:fill="E1DFDD"/>
    </w:rPr>
  </w:style>
  <w:style w:type="character" w:styleId="UnresolvedMention">
    <w:name w:val="Unresolved Mention"/>
    <w:basedOn w:val="DefaultParagraphFont"/>
    <w:uiPriority w:val="99"/>
    <w:semiHidden/>
    <w:unhideWhenUsed/>
    <w:rsid w:val="00850C3E"/>
    <w:rPr>
      <w:color w:val="605E5C"/>
      <w:shd w:val="clear" w:color="auto" w:fill="E1DFDD"/>
    </w:rPr>
  </w:style>
  <w:style w:type="table" w:styleId="TableGrid">
    <w:name w:val="Table Grid"/>
    <w:basedOn w:val="TableNormal"/>
    <w:uiPriority w:val="39"/>
    <w:rsid w:val="00F17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B48E4"/>
    <w:rPr>
      <w:rFonts w:ascii="Calibri" w:eastAsia="Calibri" w:hAnsi="Calibri" w:cs="Calibri"/>
      <w:color w:val="000000"/>
      <w:sz w:val="22"/>
      <w:szCs w:val="22"/>
      <w:u w:color="000000"/>
      <w:lang w:val="en-US"/>
    </w:rPr>
  </w:style>
  <w:style w:type="paragraph" w:styleId="Revision">
    <w:name w:val="Revision"/>
    <w:hidden/>
    <w:uiPriority w:val="99"/>
    <w:semiHidden/>
    <w:rsid w:val="006852D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1171">
      <w:bodyDiv w:val="1"/>
      <w:marLeft w:val="0"/>
      <w:marRight w:val="0"/>
      <w:marTop w:val="0"/>
      <w:marBottom w:val="0"/>
      <w:divBdr>
        <w:top w:val="none" w:sz="0" w:space="0" w:color="auto"/>
        <w:left w:val="none" w:sz="0" w:space="0" w:color="auto"/>
        <w:bottom w:val="none" w:sz="0" w:space="0" w:color="auto"/>
        <w:right w:val="none" w:sz="0" w:space="0" w:color="auto"/>
      </w:divBdr>
      <w:divsChild>
        <w:div w:id="1283146316">
          <w:marLeft w:val="720"/>
          <w:marRight w:val="0"/>
          <w:marTop w:val="0"/>
          <w:marBottom w:val="0"/>
          <w:divBdr>
            <w:top w:val="none" w:sz="0" w:space="0" w:color="auto"/>
            <w:left w:val="none" w:sz="0" w:space="0" w:color="auto"/>
            <w:bottom w:val="none" w:sz="0" w:space="0" w:color="auto"/>
            <w:right w:val="none" w:sz="0" w:space="0" w:color="auto"/>
          </w:divBdr>
        </w:div>
      </w:divsChild>
    </w:div>
    <w:div w:id="271404922">
      <w:bodyDiv w:val="1"/>
      <w:marLeft w:val="0"/>
      <w:marRight w:val="0"/>
      <w:marTop w:val="0"/>
      <w:marBottom w:val="0"/>
      <w:divBdr>
        <w:top w:val="none" w:sz="0" w:space="0" w:color="auto"/>
        <w:left w:val="none" w:sz="0" w:space="0" w:color="auto"/>
        <w:bottom w:val="none" w:sz="0" w:space="0" w:color="auto"/>
        <w:right w:val="none" w:sz="0" w:space="0" w:color="auto"/>
      </w:divBdr>
    </w:div>
    <w:div w:id="318190106">
      <w:bodyDiv w:val="1"/>
      <w:marLeft w:val="0"/>
      <w:marRight w:val="0"/>
      <w:marTop w:val="0"/>
      <w:marBottom w:val="0"/>
      <w:divBdr>
        <w:top w:val="none" w:sz="0" w:space="0" w:color="auto"/>
        <w:left w:val="none" w:sz="0" w:space="0" w:color="auto"/>
        <w:bottom w:val="none" w:sz="0" w:space="0" w:color="auto"/>
        <w:right w:val="none" w:sz="0" w:space="0" w:color="auto"/>
      </w:divBdr>
    </w:div>
    <w:div w:id="355544464">
      <w:bodyDiv w:val="1"/>
      <w:marLeft w:val="0"/>
      <w:marRight w:val="0"/>
      <w:marTop w:val="0"/>
      <w:marBottom w:val="0"/>
      <w:divBdr>
        <w:top w:val="none" w:sz="0" w:space="0" w:color="auto"/>
        <w:left w:val="none" w:sz="0" w:space="0" w:color="auto"/>
        <w:bottom w:val="none" w:sz="0" w:space="0" w:color="auto"/>
        <w:right w:val="none" w:sz="0" w:space="0" w:color="auto"/>
      </w:divBdr>
    </w:div>
    <w:div w:id="358748746">
      <w:bodyDiv w:val="1"/>
      <w:marLeft w:val="0"/>
      <w:marRight w:val="0"/>
      <w:marTop w:val="0"/>
      <w:marBottom w:val="0"/>
      <w:divBdr>
        <w:top w:val="none" w:sz="0" w:space="0" w:color="auto"/>
        <w:left w:val="none" w:sz="0" w:space="0" w:color="auto"/>
        <w:bottom w:val="none" w:sz="0" w:space="0" w:color="auto"/>
        <w:right w:val="none" w:sz="0" w:space="0" w:color="auto"/>
      </w:divBdr>
    </w:div>
    <w:div w:id="727386358">
      <w:bodyDiv w:val="1"/>
      <w:marLeft w:val="0"/>
      <w:marRight w:val="0"/>
      <w:marTop w:val="0"/>
      <w:marBottom w:val="0"/>
      <w:divBdr>
        <w:top w:val="none" w:sz="0" w:space="0" w:color="auto"/>
        <w:left w:val="none" w:sz="0" w:space="0" w:color="auto"/>
        <w:bottom w:val="none" w:sz="0" w:space="0" w:color="auto"/>
        <w:right w:val="none" w:sz="0" w:space="0" w:color="auto"/>
      </w:divBdr>
    </w:div>
    <w:div w:id="807892839">
      <w:bodyDiv w:val="1"/>
      <w:marLeft w:val="0"/>
      <w:marRight w:val="0"/>
      <w:marTop w:val="0"/>
      <w:marBottom w:val="0"/>
      <w:divBdr>
        <w:top w:val="none" w:sz="0" w:space="0" w:color="auto"/>
        <w:left w:val="none" w:sz="0" w:space="0" w:color="auto"/>
        <w:bottom w:val="none" w:sz="0" w:space="0" w:color="auto"/>
        <w:right w:val="none" w:sz="0" w:space="0" w:color="auto"/>
      </w:divBdr>
    </w:div>
    <w:div w:id="1179276169">
      <w:bodyDiv w:val="1"/>
      <w:marLeft w:val="0"/>
      <w:marRight w:val="0"/>
      <w:marTop w:val="0"/>
      <w:marBottom w:val="0"/>
      <w:divBdr>
        <w:top w:val="none" w:sz="0" w:space="0" w:color="auto"/>
        <w:left w:val="none" w:sz="0" w:space="0" w:color="auto"/>
        <w:bottom w:val="none" w:sz="0" w:space="0" w:color="auto"/>
        <w:right w:val="none" w:sz="0" w:space="0" w:color="auto"/>
      </w:divBdr>
    </w:div>
    <w:div w:id="192823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fpia.eu/media/1wwnhpem/arm-efpia-europabio-eucope-isct-joint-paper-on-hospital-exemption-scheme-july-2023.pdf__;!!N3hqHg43uw!oEW3johWQADBCRyq3zUElnowyUTO-DVw3mjTFEUWPtEKSSJQampl0gTHaaohIqVTiqFZkjeyf2oivB1EweMJAe6rWIV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www.europabio.org/wp-content/uploads/2021/01/2020_10_H_PP_Application-of-the-ATMP-Hospital-Exemption-in-the-EU.pdf__;!!N3hqHg43uw!oEW3johWQADBCRyq3zUElnowyUTO-DVw3mjTFEUWPtEKSSJQampl0gTHaaohIqVTiqFZkjeyf2oivB1EweMJAaADrKO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rtl.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rtl.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B1FC-5A25-4949-A6CB-21F72886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F. Hoffmann-La Roche, Ltd.</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Piret Ehavald</dc:creator>
  <cp:lastModifiedBy>Riho Tapfer</cp:lastModifiedBy>
  <cp:revision>2</cp:revision>
  <cp:lastPrinted>2017-03-06T10:39:00Z</cp:lastPrinted>
  <dcterms:created xsi:type="dcterms:W3CDTF">2024-06-25T07:22:00Z</dcterms:created>
  <dcterms:modified xsi:type="dcterms:W3CDTF">2024-06-25T07:22:00Z</dcterms:modified>
</cp:coreProperties>
</file>